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1A8F" w:rsidRDefault="00C030E1">
      <w:pPr>
        <w:pStyle w:val="Title"/>
      </w:pPr>
      <w:bookmarkStart w:id="0" w:name="_GoBack"/>
      <w:bookmarkEnd w:id="0"/>
      <w:r>
        <w:t>By-Laws of the Minnesota Chapter of the Association for Contextual Behavioral Science</w:t>
      </w:r>
    </w:p>
    <w:p w:rsidR="00081A8F" w:rsidRDefault="00081A8F">
      <w:pPr>
        <w:pStyle w:val="Title"/>
      </w:pPr>
    </w:p>
    <w:p w:rsidR="00081A8F" w:rsidRDefault="00C030E1">
      <w:pPr>
        <w:pStyle w:val="Heading1"/>
        <w:spacing w:after="120"/>
      </w:pPr>
      <w:r>
        <w:rPr>
          <w:b/>
        </w:rPr>
        <w:t>Article I – Name</w:t>
      </w:r>
    </w:p>
    <w:p w:rsidR="00081A8F" w:rsidRDefault="00C030E1">
      <w:pPr>
        <w:widowControl/>
        <w:spacing w:after="120"/>
        <w:jc w:val="left"/>
      </w:pPr>
      <w:r>
        <w:rPr>
          <w:rFonts w:ascii="Times New Roman" w:eastAsia="Times New Roman" w:hAnsi="Times New Roman" w:cs="Times New Roman"/>
          <w:sz w:val="24"/>
          <w:szCs w:val="24"/>
        </w:rPr>
        <w:t xml:space="preserve">The name of this organization shall be The Minnesota Chapter of the Association for Contextual Behavioral Science. </w:t>
      </w:r>
    </w:p>
    <w:p w:rsidR="00081A8F" w:rsidRDefault="00C030E1">
      <w:pPr>
        <w:pStyle w:val="Heading1"/>
        <w:spacing w:after="120"/>
      </w:pPr>
      <w:r>
        <w:rPr>
          <w:b/>
        </w:rPr>
        <w:t>Article II – Purpose</w:t>
      </w:r>
    </w:p>
    <w:p w:rsidR="00081A8F" w:rsidRDefault="00C030E1">
      <w:pPr>
        <w:widowControl/>
        <w:spacing w:after="120"/>
        <w:jc w:val="left"/>
      </w:pPr>
      <w:r>
        <w:rPr>
          <w:rFonts w:ascii="Times New Roman" w:eastAsia="Times New Roman" w:hAnsi="Times New Roman" w:cs="Times New Roman"/>
          <w:sz w:val="24"/>
          <w:szCs w:val="24"/>
        </w:rPr>
        <w:t xml:space="preserve">The purpose of the organization shall be to foster the development of functional contextual cognitive and behavioral science and practice within the state of Minnesota so as to alleviate human suffering and advance human well being </w:t>
      </w:r>
    </w:p>
    <w:p w:rsidR="00081A8F" w:rsidRDefault="00C030E1">
      <w:pPr>
        <w:widowControl/>
        <w:spacing w:after="120"/>
        <w:jc w:val="left"/>
      </w:pPr>
      <w:r>
        <w:rPr>
          <w:rFonts w:ascii="Times New Roman" w:eastAsia="Times New Roman" w:hAnsi="Times New Roman" w:cs="Times New Roman"/>
          <w:sz w:val="24"/>
          <w:szCs w:val="24"/>
        </w:rPr>
        <w:t>Specifically, the organization shall:</w:t>
      </w:r>
    </w:p>
    <w:p w:rsidR="00081A8F" w:rsidRDefault="00C030E1">
      <w:pPr>
        <w:spacing w:after="120"/>
        <w:ind w:left="360" w:hanging="360"/>
      </w:pPr>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Serve as a scientific and professional reference group for those in Minnesota who identify themselves as scientists, students, or practitioners in disciplines which embrace the principles and practices of contextual behavioral science, or for the interested public.</w:t>
      </w:r>
    </w:p>
    <w:p w:rsidR="00081A8F" w:rsidRDefault="00C030E1">
      <w:pPr>
        <w:spacing w:after="120"/>
        <w:ind w:left="360" w:hanging="360"/>
      </w:pPr>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Promote research and scholarship in Minnesota focused on the development of a coherent and progressive science of human action that is more adequate to the challenges of the human condition.</w:t>
      </w:r>
    </w:p>
    <w:p w:rsidR="00081A8F" w:rsidRDefault="00C030E1">
      <w:pPr>
        <w:spacing w:after="120"/>
        <w:ind w:left="360" w:hanging="360"/>
      </w:pP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Identify and promote the development of useful basic principles, workable applied theories linked to these principles, effective applied technologies based on these theories, and successful means of training and disseminating these developments, guided by the best available scientific evidence of effective prevention and intervention strategies.</w:t>
      </w:r>
    </w:p>
    <w:p w:rsidR="00081A8F" w:rsidRDefault="00C030E1">
      <w:pPr>
        <w:spacing w:before="100" w:after="100"/>
        <w:ind w:left="720" w:hanging="360"/>
      </w:pPr>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Promote the development of a view of science that values a dynamic, ongoing interaction between its basic and applied elements, and between practical application and empirical knowledge; </w:t>
      </w:r>
    </w:p>
    <w:p w:rsidR="00081A8F" w:rsidRDefault="00C030E1">
      <w:pPr>
        <w:spacing w:before="100" w:after="100"/>
        <w:ind w:left="720" w:hanging="360"/>
      </w:pPr>
      <w:r>
        <w:rPr>
          <w:rFonts w:ascii="Times New Roman" w:eastAsia="Times New Roman" w:hAnsi="Times New Roman" w:cs="Times New Roman"/>
          <w:sz w:val="24"/>
          <w:szCs w:val="24"/>
        </w:rPr>
        <w:t xml:space="preserve">e) Promote the development in Minnesota of a community of scholars, researchers, educators, and practitioners who will work in a collegial, open, self-critical, non-discriminatory, and mutually supportive way that is effective in producing valued outcomes and in exploring the additional implications of this work, and that emphasizes open and low cost methods of connecting with this work so as to keep the focus on benefit to others; </w:t>
      </w:r>
    </w:p>
    <w:p w:rsidR="00081A8F" w:rsidRDefault="00C030E1">
      <w:pPr>
        <w:spacing w:after="120"/>
        <w:ind w:left="360" w:hanging="360"/>
      </w:pPr>
      <w:r>
        <w:rPr>
          <w:rFonts w:ascii="Times New Roman" w:eastAsia="Times New Roman" w:hAnsi="Times New Roman" w:cs="Times New Roman"/>
          <w:sz w:val="24"/>
          <w:szCs w:val="24"/>
        </w:rPr>
        <w:t>f) Advise political, legislative, and policy-making bodies with respect to matters pertaining to contextual behavioral science in Minnesota.</w:t>
      </w:r>
    </w:p>
    <w:p w:rsidR="00081A8F" w:rsidRDefault="00C030E1">
      <w:pPr>
        <w:spacing w:after="120"/>
        <w:ind w:left="360" w:hanging="360"/>
      </w:pPr>
      <w:r>
        <w:rPr>
          <w:rFonts w:ascii="Times New Roman" w:eastAsia="Times New Roman" w:hAnsi="Times New Roman" w:cs="Times New Roman"/>
          <w:sz w:val="24"/>
          <w:szCs w:val="24"/>
        </w:rPr>
        <w:t>g)</w:t>
      </w:r>
      <w:r>
        <w:rPr>
          <w:rFonts w:ascii="Times New Roman" w:eastAsia="Times New Roman" w:hAnsi="Times New Roman" w:cs="Times New Roman"/>
          <w:sz w:val="24"/>
          <w:szCs w:val="24"/>
        </w:rPr>
        <w:tab/>
        <w:t>Organize and sponsor forums, conferences, newsletters, journals, websites, list serves and other such activities for the accomplishment of the purposes of the organization</w:t>
      </w:r>
    </w:p>
    <w:p w:rsidR="00081A8F" w:rsidRDefault="00C030E1">
      <w:pPr>
        <w:pStyle w:val="Heading1"/>
        <w:spacing w:after="120"/>
      </w:pPr>
      <w:r>
        <w:rPr>
          <w:b/>
        </w:rPr>
        <w:t>Article III - Membership</w:t>
      </w:r>
    </w:p>
    <w:p w:rsidR="00081A8F" w:rsidRDefault="00C030E1">
      <w:pPr>
        <w:numPr>
          <w:ilvl w:val="0"/>
          <w:numId w:val="1"/>
        </w:numPr>
        <w:spacing w:after="120"/>
        <w:ind w:hanging="360"/>
        <w:rPr>
          <w:rFonts w:ascii="Times New Roman" w:eastAsia="Times New Roman" w:hAnsi="Times New Roman" w:cs="Times New Roman"/>
          <w:sz w:val="24"/>
          <w:szCs w:val="24"/>
        </w:rPr>
      </w:pPr>
      <w:r>
        <w:rPr>
          <w:rFonts w:ascii="Times New Roman" w:eastAsia="Times New Roman" w:hAnsi="Times New Roman" w:cs="Times New Roman"/>
          <w:i/>
          <w:sz w:val="24"/>
          <w:szCs w:val="24"/>
        </w:rPr>
        <w:t>Categories of Membership</w:t>
      </w:r>
    </w:p>
    <w:p w:rsidR="00081A8F" w:rsidRDefault="00C030E1">
      <w:pPr>
        <w:spacing w:before="100" w:after="100"/>
        <w:ind w:left="720" w:hanging="360"/>
      </w:pPr>
      <w:r>
        <w:rPr>
          <w:rFonts w:ascii="Times New Roman" w:eastAsia="Times New Roman" w:hAnsi="Times New Roman" w:cs="Times New Roman"/>
          <w:sz w:val="24"/>
          <w:szCs w:val="24"/>
        </w:rPr>
        <w:t>Members of the Association shall be persons who are interested in the advancement of functional contextual science and practice.</w:t>
      </w:r>
    </w:p>
    <w:p w:rsidR="00081A8F" w:rsidRDefault="00C030E1">
      <w:pPr>
        <w:spacing w:before="100" w:after="100"/>
        <w:ind w:left="720" w:hanging="360"/>
      </w:pPr>
      <w:r>
        <w:rPr>
          <w:rFonts w:ascii="Times New Roman" w:eastAsia="Times New Roman" w:hAnsi="Times New Roman" w:cs="Times New Roman"/>
          <w:sz w:val="24"/>
          <w:szCs w:val="24"/>
        </w:rPr>
        <w:t xml:space="preserve">The types of membership shall be professional, student, and affiliate. </w:t>
      </w:r>
    </w:p>
    <w:p w:rsidR="00081A8F" w:rsidRDefault="00C030E1">
      <w:pPr>
        <w:spacing w:before="100" w:after="100"/>
        <w:ind w:left="720" w:hanging="360"/>
      </w:pPr>
      <w:r>
        <w:rPr>
          <w:rFonts w:ascii="Times New Roman" w:eastAsia="Times New Roman" w:hAnsi="Times New Roman" w:cs="Times New Roman"/>
          <w:sz w:val="24"/>
          <w:szCs w:val="24"/>
        </w:rPr>
        <w:t xml:space="preserve">Professional members and Fellows shall be entitled to the rights and privileges of the Association without restriction. The minimum standard for election to professional membership shall be completion of a terminal degree relevant to the purposes of the Association. Student members shall be currently enrolled at the undergraduate or </w:t>
      </w:r>
      <w:r>
        <w:rPr>
          <w:rFonts w:ascii="Times New Roman" w:eastAsia="Times New Roman" w:hAnsi="Times New Roman" w:cs="Times New Roman"/>
          <w:sz w:val="24"/>
          <w:szCs w:val="24"/>
        </w:rPr>
        <w:lastRenderedPageBreak/>
        <w:t>graduate level in an area of relevance to the purposes of the Association. Affiliate members are any member of the public with interests in the purpose of the Association.</w:t>
      </w:r>
    </w:p>
    <w:p w:rsidR="00081A8F" w:rsidRDefault="00C030E1">
      <w:pPr>
        <w:spacing w:before="100" w:after="100"/>
        <w:ind w:left="720" w:hanging="360"/>
      </w:pPr>
      <w:r>
        <w:rPr>
          <w:rFonts w:ascii="Times New Roman" w:eastAsia="Times New Roman" w:hAnsi="Times New Roman" w:cs="Times New Roman"/>
          <w:sz w:val="24"/>
          <w:szCs w:val="24"/>
        </w:rPr>
        <w:t>Standards for Fellow Status in the Association shall be set by the Board of Directors.</w:t>
      </w:r>
    </w:p>
    <w:p w:rsidR="00081A8F" w:rsidRDefault="00C030E1">
      <w:pPr>
        <w:spacing w:before="100" w:after="100"/>
        <w:ind w:left="720" w:hanging="360"/>
      </w:pPr>
      <w:r>
        <w:rPr>
          <w:rFonts w:ascii="Times New Roman" w:eastAsia="Times New Roman" w:hAnsi="Times New Roman" w:cs="Times New Roman"/>
          <w:sz w:val="24"/>
          <w:szCs w:val="24"/>
        </w:rPr>
        <w:t>All members of the Minnesota Chapter of the</w:t>
      </w:r>
      <w:r>
        <w:rPr>
          <w:rFonts w:ascii="Times New Roman" w:eastAsia="Times New Roman" w:hAnsi="Times New Roman" w:cs="Times New Roman"/>
        </w:rPr>
        <w:t xml:space="preserve"> </w:t>
      </w:r>
      <w:r>
        <w:rPr>
          <w:rFonts w:ascii="Times New Roman" w:eastAsia="Times New Roman" w:hAnsi="Times New Roman" w:cs="Times New Roman"/>
          <w:sz w:val="24"/>
          <w:szCs w:val="24"/>
        </w:rPr>
        <w:t>Association for Contextual Behavioral Science must be members in good standing of the Association for Contextual Behavioral Science</w:t>
      </w:r>
    </w:p>
    <w:p w:rsidR="00081A8F" w:rsidRDefault="00C030E1">
      <w:pPr>
        <w:spacing w:before="100" w:after="100"/>
        <w:ind w:left="720" w:hanging="360"/>
      </w:pPr>
      <w:r>
        <w:rPr>
          <w:rFonts w:ascii="Times New Roman" w:eastAsia="Times New Roman" w:hAnsi="Times New Roman" w:cs="Times New Roman"/>
          <w:sz w:val="24"/>
          <w:szCs w:val="24"/>
        </w:rPr>
        <w:t xml:space="preserve">Membership dues are set by the Board of Directors of the Association and paid to the Association annually. </w:t>
      </w:r>
    </w:p>
    <w:p w:rsidR="00081A8F" w:rsidRDefault="00C030E1">
      <w:pPr>
        <w:spacing w:before="100" w:after="100"/>
        <w:ind w:left="720" w:hanging="360"/>
      </w:pPr>
      <w:r>
        <w:rPr>
          <w:rFonts w:ascii="Times New Roman" w:eastAsia="Times New Roman" w:hAnsi="Times New Roman" w:cs="Times New Roman"/>
          <w:sz w:val="24"/>
          <w:szCs w:val="24"/>
        </w:rPr>
        <w:t xml:space="preserve">Members shall be regarded without discrimination on the basis of race, national or ethnic origin, religion, gender, sexual orientation, age, political affiliation, or mental or physical disability. </w:t>
      </w:r>
    </w:p>
    <w:p w:rsidR="00081A8F" w:rsidRDefault="00C030E1">
      <w:pPr>
        <w:widowControl/>
        <w:spacing w:after="120"/>
        <w:jc w:val="left"/>
      </w:pPr>
      <w:r>
        <w:rPr>
          <w:rFonts w:ascii="Times New Roman" w:eastAsia="Times New Roman" w:hAnsi="Times New Roman" w:cs="Times New Roman"/>
          <w:i/>
          <w:sz w:val="24"/>
          <w:szCs w:val="24"/>
        </w:rPr>
        <w:t>b)  Good Standing</w:t>
      </w:r>
    </w:p>
    <w:p w:rsidR="00081A8F" w:rsidRDefault="00C030E1">
      <w:pPr>
        <w:widowControl/>
        <w:spacing w:after="120"/>
        <w:jc w:val="left"/>
      </w:pPr>
      <w:r>
        <w:rPr>
          <w:rFonts w:ascii="Times New Roman" w:eastAsia="Times New Roman" w:hAnsi="Times New Roman" w:cs="Times New Roman"/>
          <w:sz w:val="24"/>
          <w:szCs w:val="24"/>
        </w:rPr>
        <w:t>To remain a member in good standing, an individual must be no more than 9 months in arrears with respect to any dues and assessments, both of the Minnesota Chapter of the ACBS, and of ACBS itself.</w:t>
      </w:r>
    </w:p>
    <w:p w:rsidR="00081A8F" w:rsidRDefault="00C030E1">
      <w:pPr>
        <w:widowControl/>
        <w:spacing w:after="120"/>
        <w:jc w:val="left"/>
      </w:pPr>
      <w:r>
        <w:rPr>
          <w:rFonts w:ascii="Times New Roman" w:eastAsia="Times New Roman" w:hAnsi="Times New Roman" w:cs="Times New Roman"/>
          <w:i/>
          <w:sz w:val="24"/>
          <w:szCs w:val="24"/>
        </w:rPr>
        <w:t>c) Voting</w:t>
      </w:r>
    </w:p>
    <w:p w:rsidR="00081A8F" w:rsidRDefault="00C030E1">
      <w:pPr>
        <w:widowControl/>
        <w:spacing w:after="120"/>
        <w:jc w:val="left"/>
      </w:pPr>
      <w:r>
        <w:rPr>
          <w:rFonts w:ascii="Times New Roman" w:eastAsia="Times New Roman" w:hAnsi="Times New Roman" w:cs="Times New Roman"/>
          <w:sz w:val="24"/>
          <w:szCs w:val="24"/>
        </w:rPr>
        <w:t>Each Professional, Affiliate, and Student member shall be entitled to one vote on all matters brought before the Association. There shall be no proxy voting. The voting status of other members as it applies to particular issues may be decided by the Board of Directors.</w:t>
      </w:r>
    </w:p>
    <w:p w:rsidR="00081A8F" w:rsidRDefault="00081A8F">
      <w:pPr>
        <w:widowControl/>
        <w:spacing w:after="120"/>
        <w:jc w:val="left"/>
      </w:pPr>
    </w:p>
    <w:p w:rsidR="00081A8F" w:rsidRDefault="00C030E1">
      <w:pPr>
        <w:widowControl/>
        <w:spacing w:after="120"/>
        <w:jc w:val="left"/>
      </w:pPr>
      <w:r>
        <w:rPr>
          <w:rFonts w:ascii="Times New Roman" w:eastAsia="Times New Roman" w:hAnsi="Times New Roman" w:cs="Times New Roman"/>
          <w:b/>
          <w:sz w:val="24"/>
          <w:szCs w:val="24"/>
        </w:rPr>
        <w:t>Article IV – Officers, Duties, and Terms of Office</w:t>
      </w:r>
    </w:p>
    <w:p w:rsidR="00081A8F" w:rsidRDefault="00C030E1">
      <w:pPr>
        <w:spacing w:before="100" w:after="100"/>
        <w:ind w:left="720" w:hanging="360"/>
      </w:pPr>
      <w:r>
        <w:rPr>
          <w:rFonts w:ascii="Times New Roman" w:eastAsia="Times New Roman" w:hAnsi="Times New Roman" w:cs="Times New Roman"/>
          <w:sz w:val="24"/>
          <w:szCs w:val="24"/>
        </w:rPr>
        <w:t xml:space="preserve">The officers of the Association shall consist of a President, President-Elect, Secretary-Treasurer, a student representative, and </w:t>
      </w:r>
      <w:r w:rsidR="00B00EE1">
        <w:rPr>
          <w:rFonts w:ascii="Times New Roman" w:eastAsia="Times New Roman" w:hAnsi="Times New Roman" w:cs="Times New Roman"/>
          <w:sz w:val="24"/>
          <w:szCs w:val="24"/>
        </w:rPr>
        <w:t>two</w:t>
      </w:r>
      <w:r>
        <w:rPr>
          <w:rFonts w:ascii="Times New Roman" w:eastAsia="Times New Roman" w:hAnsi="Times New Roman" w:cs="Times New Roman"/>
          <w:sz w:val="24"/>
          <w:szCs w:val="24"/>
        </w:rPr>
        <w:t xml:space="preserve"> Member</w:t>
      </w:r>
      <w:r w:rsidR="00B00EE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-at-Large of the Board of Directors. Each shall perform the usual duties of the respective office and specific duties provided elsewhere in these Bylaws or as assigned by the Board of Directors. Elections for officers shall be held every year. The President, President-Elect, and student representative shall each serve a one-year term and may not hold any other elected office within the Association. The Members-at-Large shall be elected every two years. The Secretary-Treasurer shall serve a </w:t>
      </w:r>
      <w:r w:rsidR="00B00EE1">
        <w:rPr>
          <w:rFonts w:ascii="Times New Roman" w:eastAsia="Times New Roman" w:hAnsi="Times New Roman" w:cs="Times New Roman"/>
          <w:sz w:val="24"/>
          <w:szCs w:val="24"/>
        </w:rPr>
        <w:t>three-year</w:t>
      </w:r>
      <w:r>
        <w:rPr>
          <w:rFonts w:ascii="Times New Roman" w:eastAsia="Times New Roman" w:hAnsi="Times New Roman" w:cs="Times New Roman"/>
          <w:sz w:val="24"/>
          <w:szCs w:val="24"/>
        </w:rPr>
        <w:t xml:space="preserve"> term.</w:t>
      </w:r>
    </w:p>
    <w:p w:rsidR="00081A8F" w:rsidRDefault="00C030E1">
      <w:pPr>
        <w:spacing w:before="100" w:after="100"/>
        <w:ind w:left="720" w:hanging="360"/>
      </w:pPr>
      <w:r>
        <w:rPr>
          <w:rFonts w:ascii="Times New Roman" w:eastAsia="Times New Roman" w:hAnsi="Times New Roman" w:cs="Times New Roman"/>
          <w:sz w:val="24"/>
          <w:szCs w:val="24"/>
        </w:rPr>
        <w:t>Candidates for offices shall be Members of the Association. Officers shall be elected by email ballot to Members.</w:t>
      </w:r>
    </w:p>
    <w:p w:rsidR="00081A8F" w:rsidRDefault="00C030E1">
      <w:pPr>
        <w:spacing w:before="100" w:after="100"/>
        <w:ind w:left="720" w:hanging="360"/>
      </w:pPr>
      <w:r>
        <w:rPr>
          <w:rFonts w:ascii="Times New Roman" w:eastAsia="Times New Roman" w:hAnsi="Times New Roman" w:cs="Times New Roman"/>
          <w:sz w:val="24"/>
          <w:szCs w:val="24"/>
        </w:rPr>
        <w:t xml:space="preserve">The </w:t>
      </w:r>
      <w:r w:rsidR="00B00EE1">
        <w:rPr>
          <w:rFonts w:ascii="Times New Roman" w:eastAsia="Times New Roman" w:hAnsi="Times New Roman" w:cs="Times New Roman"/>
          <w:sz w:val="24"/>
          <w:szCs w:val="24"/>
        </w:rPr>
        <w:t>President-Elect</w:t>
      </w:r>
      <w:r>
        <w:rPr>
          <w:rFonts w:ascii="Times New Roman" w:eastAsia="Times New Roman" w:hAnsi="Times New Roman" w:cs="Times New Roman"/>
          <w:sz w:val="24"/>
          <w:szCs w:val="24"/>
        </w:rPr>
        <w:t xml:space="preserve"> shall fulfill the duties of the President in case of the President's absence, incapacity, or resignation. In the event of the President's resignation, or </w:t>
      </w:r>
      <w:proofErr w:type="gramStart"/>
      <w:r>
        <w:rPr>
          <w:rFonts w:ascii="Times New Roman" w:eastAsia="Times New Roman" w:hAnsi="Times New Roman" w:cs="Times New Roman"/>
          <w:sz w:val="24"/>
          <w:szCs w:val="24"/>
        </w:rPr>
        <w:t>lengthy</w:t>
      </w:r>
      <w:proofErr w:type="gramEnd"/>
      <w:r>
        <w:rPr>
          <w:rFonts w:ascii="Times New Roman" w:eastAsia="Times New Roman" w:hAnsi="Times New Roman" w:cs="Times New Roman"/>
          <w:sz w:val="24"/>
          <w:szCs w:val="24"/>
        </w:rPr>
        <w:t xml:space="preserve"> absence or incapacity, the Board of Directors may, by a two-thirds vote, provide for an election of a new President before the normal voting cycle. In such a case, the </w:t>
      </w:r>
      <w:r w:rsidR="00B00EE1">
        <w:rPr>
          <w:rFonts w:ascii="Times New Roman" w:eastAsia="Times New Roman" w:hAnsi="Times New Roman" w:cs="Times New Roman"/>
          <w:sz w:val="24"/>
          <w:szCs w:val="24"/>
        </w:rPr>
        <w:t>President-Elect</w:t>
      </w:r>
      <w:r>
        <w:rPr>
          <w:rFonts w:ascii="Times New Roman" w:eastAsia="Times New Roman" w:hAnsi="Times New Roman" w:cs="Times New Roman"/>
          <w:sz w:val="24"/>
          <w:szCs w:val="24"/>
        </w:rPr>
        <w:t xml:space="preserve"> shall serve as President until the new President takes office. </w:t>
      </w:r>
    </w:p>
    <w:p w:rsidR="00081A8F" w:rsidRDefault="00C030E1">
      <w:pPr>
        <w:spacing w:before="100" w:after="100"/>
      </w:pPr>
      <w:r>
        <w:rPr>
          <w:rFonts w:ascii="Times New Roman" w:eastAsia="Times New Roman" w:hAnsi="Times New Roman" w:cs="Times New Roman"/>
          <w:b/>
          <w:sz w:val="24"/>
          <w:szCs w:val="24"/>
        </w:rPr>
        <w:t>Article V – Committees</w:t>
      </w:r>
    </w:p>
    <w:p w:rsidR="00081A8F" w:rsidRDefault="00C030E1">
      <w:pPr>
        <w:spacing w:before="100" w:after="100"/>
        <w:ind w:left="720" w:hanging="360"/>
      </w:pPr>
      <w:r>
        <w:rPr>
          <w:rFonts w:ascii="Times New Roman" w:eastAsia="Times New Roman" w:hAnsi="Times New Roman" w:cs="Times New Roman"/>
          <w:sz w:val="24"/>
          <w:szCs w:val="24"/>
        </w:rPr>
        <w:t xml:space="preserve">The President, President-Elect, Secretary-Treasurer, and Members-at-Large shall constitute the voting members of the Board of Directors.  The Student Representative shall not be a voting member of the Board. </w:t>
      </w:r>
    </w:p>
    <w:p w:rsidR="00081A8F" w:rsidRDefault="00C030E1">
      <w:pPr>
        <w:spacing w:before="100" w:after="100"/>
        <w:ind w:left="720" w:hanging="360"/>
      </w:pPr>
      <w:r>
        <w:rPr>
          <w:rFonts w:ascii="Times New Roman" w:eastAsia="Times New Roman" w:hAnsi="Times New Roman" w:cs="Times New Roman"/>
          <w:sz w:val="24"/>
          <w:szCs w:val="24"/>
        </w:rPr>
        <w:t>The Committees of the Association shall consist of such standing Committees as may be provided by these Bylaws and such special Committees as may be established by the Board of Directors.</w:t>
      </w:r>
    </w:p>
    <w:p w:rsidR="00081A8F" w:rsidRDefault="00C030E1">
      <w:pPr>
        <w:spacing w:before="100" w:after="100"/>
        <w:ind w:left="720" w:hanging="360"/>
      </w:pPr>
      <w:r>
        <w:rPr>
          <w:rFonts w:ascii="Times New Roman" w:eastAsia="Times New Roman" w:hAnsi="Times New Roman" w:cs="Times New Roman"/>
          <w:sz w:val="24"/>
          <w:szCs w:val="24"/>
        </w:rPr>
        <w:lastRenderedPageBreak/>
        <w:t>The Board of Directors shall have general supervision of the affairs of the Association, performing the duties and abiding by the limitations specified in these Bylaws. Actions of the Board of Directors affecting Association policy are subject to approval by a majority vote of the Members voting at the annual meeting, or by a special email ballot as decided upon by the Board of Directors. A request for an email ballot of the membership of the Association may be initiated either by the Board of Directors or by five percent (5%) of the Members, at which point, an email ballot shall be circulated to the membership. Results of an email ballot of the membership constitute the final authority of the Association.</w:t>
      </w:r>
    </w:p>
    <w:p w:rsidR="00081A8F" w:rsidRDefault="00C030E1">
      <w:pPr>
        <w:spacing w:before="100" w:after="100"/>
        <w:ind w:left="720" w:hanging="360"/>
      </w:pPr>
      <w:r>
        <w:rPr>
          <w:rFonts w:ascii="Times New Roman" w:eastAsia="Times New Roman" w:hAnsi="Times New Roman" w:cs="Times New Roman"/>
          <w:sz w:val="24"/>
          <w:szCs w:val="24"/>
        </w:rPr>
        <w:t>The Membership Committee shall be selected by the Board of Directors with a chair appointed by the President and approved by the Board of Directors. It shall be the responsibility of this Committee to secure and review evidence concerning the membership qualifications of all candidates for membership or changes of membership status and to select Fellow of the Association.</w:t>
      </w:r>
    </w:p>
    <w:p w:rsidR="00081A8F" w:rsidRDefault="00C030E1">
      <w:pPr>
        <w:spacing w:before="100" w:after="100"/>
        <w:ind w:left="720" w:hanging="360"/>
      </w:pPr>
      <w:r>
        <w:rPr>
          <w:rFonts w:ascii="Times New Roman" w:eastAsia="Times New Roman" w:hAnsi="Times New Roman" w:cs="Times New Roman"/>
          <w:sz w:val="24"/>
          <w:szCs w:val="24"/>
        </w:rPr>
        <w:t xml:space="preserve">The Election Committee shall be selected by the Board of Directors, with a chair appointed by the President and approved by the Board of Directors. The Election Committee shall secure nominations by email ballot from the Members and shall ascertain whether the nominees are qualified and willing to serve if elected. The Election Committee shall be responsible for making a preferential count of the election ballots and reporting the results to the Board of Directors. </w:t>
      </w:r>
    </w:p>
    <w:p w:rsidR="00081A8F" w:rsidRDefault="00C030E1">
      <w:pPr>
        <w:spacing w:before="100" w:after="100"/>
      </w:pPr>
      <w:r>
        <w:rPr>
          <w:rFonts w:ascii="Times New Roman" w:eastAsia="Times New Roman" w:hAnsi="Times New Roman" w:cs="Times New Roman"/>
          <w:b/>
          <w:sz w:val="24"/>
          <w:szCs w:val="24"/>
        </w:rPr>
        <w:t>Article VI – Activities</w:t>
      </w:r>
    </w:p>
    <w:p w:rsidR="00081A8F" w:rsidRDefault="00C030E1">
      <w:pPr>
        <w:spacing w:before="100" w:after="100"/>
        <w:ind w:left="720" w:hanging="360"/>
      </w:pPr>
      <w:r>
        <w:rPr>
          <w:rFonts w:ascii="Times New Roman" w:eastAsia="Times New Roman" w:hAnsi="Times New Roman" w:cs="Times New Roman"/>
          <w:sz w:val="24"/>
          <w:szCs w:val="24"/>
        </w:rPr>
        <w:t>The association may hold periodic meetings for the transaction of business and presentations regarding developments in contextual behavioral science, application, and the advancement of human welfare.</w:t>
      </w:r>
    </w:p>
    <w:p w:rsidR="00081A8F" w:rsidRDefault="00C030E1">
      <w:pPr>
        <w:spacing w:before="100" w:after="100"/>
        <w:ind w:left="720" w:hanging="360"/>
      </w:pPr>
      <w:r>
        <w:rPr>
          <w:rFonts w:ascii="Times New Roman" w:eastAsia="Times New Roman" w:hAnsi="Times New Roman" w:cs="Times New Roman"/>
          <w:sz w:val="24"/>
          <w:szCs w:val="24"/>
        </w:rPr>
        <w:t>The Association may engage in activities designed to accomplish its purposes, including</w:t>
      </w:r>
      <w:r>
        <w:rPr>
          <w:rFonts w:ascii="Times New Roman" w:eastAsia="Times New Roman" w:hAnsi="Times New Roman" w:cs="Times New Roman"/>
          <w:sz w:val="24"/>
          <w:szCs w:val="24"/>
        </w:rPr>
        <w:br/>
        <w:t>-establishing or acquire newsletters, journals, and other publications</w:t>
      </w:r>
      <w:r>
        <w:rPr>
          <w:rFonts w:ascii="Times New Roman" w:eastAsia="Times New Roman" w:hAnsi="Times New Roman" w:cs="Times New Roman"/>
          <w:sz w:val="24"/>
          <w:szCs w:val="24"/>
        </w:rPr>
        <w:br/>
        <w:t>-establishing and maintaining websites, list serves, and other media</w:t>
      </w:r>
      <w:r>
        <w:rPr>
          <w:rFonts w:ascii="Times New Roman" w:eastAsia="Times New Roman" w:hAnsi="Times New Roman" w:cs="Times New Roman"/>
          <w:sz w:val="24"/>
          <w:szCs w:val="24"/>
        </w:rPr>
        <w:br/>
        <w:t xml:space="preserve">-specifying or promoting education and training criteria promoting public education </w:t>
      </w:r>
    </w:p>
    <w:p w:rsidR="00081A8F" w:rsidRDefault="00C030E1">
      <w:pPr>
        <w:spacing w:before="100" w:after="100"/>
        <w:ind w:left="720" w:hanging="360"/>
      </w:pPr>
      <w:r>
        <w:rPr>
          <w:rFonts w:ascii="Times New Roman" w:eastAsia="Times New Roman" w:hAnsi="Times New Roman" w:cs="Times New Roman"/>
          <w:sz w:val="24"/>
          <w:szCs w:val="24"/>
        </w:rPr>
        <w:t xml:space="preserve">The Board of Directors may provide for the formation and dissolution of student affiliate groups, special interest groups, and other units within the Association. </w:t>
      </w:r>
    </w:p>
    <w:p w:rsidR="00081A8F" w:rsidRDefault="00C030E1">
      <w:pPr>
        <w:spacing w:before="100" w:after="100"/>
      </w:pPr>
      <w:r>
        <w:rPr>
          <w:rFonts w:ascii="Times New Roman" w:eastAsia="Times New Roman" w:hAnsi="Times New Roman" w:cs="Times New Roman"/>
          <w:b/>
          <w:sz w:val="24"/>
          <w:szCs w:val="24"/>
        </w:rPr>
        <w:t>Article VII - Rules of Procedure</w:t>
      </w:r>
    </w:p>
    <w:p w:rsidR="00081A8F" w:rsidRDefault="00C030E1">
      <w:pPr>
        <w:spacing w:before="100" w:after="100"/>
        <w:ind w:left="720" w:hanging="360"/>
      </w:pPr>
      <w:r>
        <w:rPr>
          <w:rFonts w:ascii="Times New Roman" w:eastAsia="Times New Roman" w:hAnsi="Times New Roman" w:cs="Times New Roman"/>
          <w:sz w:val="24"/>
          <w:szCs w:val="24"/>
        </w:rPr>
        <w:t xml:space="preserve">The rules contained in the edition of </w:t>
      </w:r>
      <w:r>
        <w:rPr>
          <w:rFonts w:ascii="Times New Roman" w:eastAsia="Times New Roman" w:hAnsi="Times New Roman" w:cs="Times New Roman"/>
          <w:i/>
          <w:sz w:val="24"/>
          <w:szCs w:val="24"/>
        </w:rPr>
        <w:t>Robert's Rules of Order</w:t>
      </w:r>
      <w:r>
        <w:rPr>
          <w:rFonts w:ascii="Times New Roman" w:eastAsia="Times New Roman" w:hAnsi="Times New Roman" w:cs="Times New Roman"/>
          <w:sz w:val="24"/>
          <w:szCs w:val="24"/>
        </w:rPr>
        <w:t xml:space="preserve"> (Newly Revised) shall govern the Association in all cases to which they are applicable and in which they are not inconsistent with these Bylaws and any special rules of order the Association may adopt. </w:t>
      </w:r>
    </w:p>
    <w:p w:rsidR="00081A8F" w:rsidRDefault="00C030E1">
      <w:pPr>
        <w:spacing w:before="100" w:after="100"/>
      </w:pPr>
      <w:r>
        <w:rPr>
          <w:rFonts w:ascii="Times New Roman" w:eastAsia="Times New Roman" w:hAnsi="Times New Roman" w:cs="Times New Roman"/>
          <w:b/>
          <w:sz w:val="24"/>
          <w:szCs w:val="24"/>
        </w:rPr>
        <w:t>Article VIII – Amendments</w:t>
      </w:r>
    </w:p>
    <w:p w:rsidR="00081A8F" w:rsidRDefault="00C030E1">
      <w:pPr>
        <w:spacing w:before="100" w:after="100"/>
        <w:ind w:left="720" w:hanging="360"/>
      </w:pPr>
      <w:r>
        <w:rPr>
          <w:rFonts w:ascii="Times New Roman" w:eastAsia="Times New Roman" w:hAnsi="Times New Roman" w:cs="Times New Roman"/>
          <w:sz w:val="24"/>
          <w:szCs w:val="24"/>
        </w:rPr>
        <w:t>These Bylaws may be amended by a two-thirds vote of Members who reply to an email ballot sent to the total membership. Bylaws amendments may be initiated by the Board of Directors or by petition of five percent (5%) of the total membership.</w:t>
      </w:r>
    </w:p>
    <w:p w:rsidR="00081A8F" w:rsidRDefault="00C030E1">
      <w:pPr>
        <w:spacing w:before="100" w:after="100"/>
        <w:ind w:left="720" w:hanging="360"/>
      </w:pPr>
      <w:r>
        <w:rPr>
          <w:rFonts w:ascii="Times New Roman" w:eastAsia="Times New Roman" w:hAnsi="Times New Roman" w:cs="Times New Roman"/>
          <w:sz w:val="24"/>
          <w:szCs w:val="24"/>
        </w:rPr>
        <w:t xml:space="preserve">Within five years after the adoption of these Bylaws, the Board of Directors shall appoint a special committee to review these initial Bylaws and to recommend changes in them. </w:t>
      </w:r>
    </w:p>
    <w:p w:rsidR="00081A8F" w:rsidRDefault="00C030E1">
      <w:pPr>
        <w:spacing w:before="100" w:after="100"/>
      </w:pPr>
      <w:r>
        <w:rPr>
          <w:rFonts w:ascii="Times New Roman" w:eastAsia="Times New Roman" w:hAnsi="Times New Roman" w:cs="Times New Roman"/>
          <w:b/>
          <w:sz w:val="24"/>
          <w:szCs w:val="24"/>
        </w:rPr>
        <w:t>Article IX – Dissolution</w:t>
      </w:r>
    </w:p>
    <w:p w:rsidR="00081A8F" w:rsidRDefault="00C030E1">
      <w:pPr>
        <w:spacing w:before="100" w:after="100"/>
        <w:ind w:left="720" w:hanging="360"/>
      </w:pPr>
      <w:r>
        <w:rPr>
          <w:rFonts w:ascii="Times New Roman" w:eastAsia="Times New Roman" w:hAnsi="Times New Roman" w:cs="Times New Roman"/>
          <w:sz w:val="24"/>
          <w:szCs w:val="24"/>
        </w:rPr>
        <w:t>In the event of the dissolution or termination of the Association, all of the assets and title to and possession of the property of the Association shall pass to one or more non-</w:t>
      </w:r>
      <w:r>
        <w:rPr>
          <w:rFonts w:ascii="Times New Roman" w:eastAsia="Times New Roman" w:hAnsi="Times New Roman" w:cs="Times New Roman"/>
          <w:sz w:val="24"/>
          <w:szCs w:val="24"/>
        </w:rPr>
        <w:lastRenderedPageBreak/>
        <w:t xml:space="preserve">profit scientific and professional organization. </w:t>
      </w:r>
    </w:p>
    <w:sectPr w:rsidR="00081A8F">
      <w:pgSz w:w="11906" w:h="16838"/>
      <w:pgMar w:top="1440" w:right="1440" w:bottom="1440" w:left="1440" w:header="720" w:footer="720" w:gutter="0"/>
      <w:pgNumType w:start="46"/>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C167EE"/>
    <w:multiLevelType w:val="multilevel"/>
    <w:tmpl w:val="AEA0BA1A"/>
    <w:lvl w:ilvl="0">
      <w:start w:val="1"/>
      <w:numFmt w:val="lowerLetter"/>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8F"/>
    <w:rsid w:val="00081A8F"/>
    <w:rsid w:val="001065A5"/>
    <w:rsid w:val="00433AF5"/>
    <w:rsid w:val="00934DC2"/>
    <w:rsid w:val="00B00EE1"/>
    <w:rsid w:val="00C03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7E0E1-F16F-46F2-A745-EA0DC421C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atang" w:eastAsia="Batang" w:hAnsi="Batang" w:cs="Batang"/>
        <w:color w:val="000000"/>
        <w:lang w:val="en-US" w:eastAsia="en-US"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widowControl/>
      <w:jc w:val="left"/>
      <w:outlineLvl w:val="0"/>
    </w:pPr>
    <w:rPr>
      <w:rFonts w:ascii="Times New Roman" w:eastAsia="Times New Roman" w:hAnsi="Times New Roman" w:cs="Times New Roman"/>
      <w:i/>
      <w:sz w:val="24"/>
      <w:szCs w:val="24"/>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jc w:val="center"/>
    </w:pPr>
    <w:rPr>
      <w:rFonts w:ascii="Times New Roman" w:eastAsia="Times New Roman" w:hAnsi="Times New Roman" w:cs="Times New Roman"/>
      <w:b/>
      <w:sz w:val="24"/>
      <w:szCs w:val="24"/>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34DC2"/>
    <w:rPr>
      <w:sz w:val="16"/>
      <w:szCs w:val="16"/>
    </w:rPr>
  </w:style>
  <w:style w:type="paragraph" w:styleId="CommentText">
    <w:name w:val="annotation text"/>
    <w:basedOn w:val="Normal"/>
    <w:link w:val="CommentTextChar"/>
    <w:uiPriority w:val="99"/>
    <w:semiHidden/>
    <w:unhideWhenUsed/>
    <w:rsid w:val="00934DC2"/>
  </w:style>
  <w:style w:type="character" w:customStyle="1" w:styleId="CommentTextChar">
    <w:name w:val="Comment Text Char"/>
    <w:basedOn w:val="DefaultParagraphFont"/>
    <w:link w:val="CommentText"/>
    <w:uiPriority w:val="99"/>
    <w:semiHidden/>
    <w:rsid w:val="00934DC2"/>
  </w:style>
  <w:style w:type="paragraph" w:styleId="CommentSubject">
    <w:name w:val="annotation subject"/>
    <w:basedOn w:val="CommentText"/>
    <w:next w:val="CommentText"/>
    <w:link w:val="CommentSubjectChar"/>
    <w:uiPriority w:val="99"/>
    <w:semiHidden/>
    <w:unhideWhenUsed/>
    <w:rsid w:val="00934DC2"/>
    <w:rPr>
      <w:b/>
      <w:bCs/>
    </w:rPr>
  </w:style>
  <w:style w:type="character" w:customStyle="1" w:styleId="CommentSubjectChar">
    <w:name w:val="Comment Subject Char"/>
    <w:basedOn w:val="CommentTextChar"/>
    <w:link w:val="CommentSubject"/>
    <w:uiPriority w:val="99"/>
    <w:semiHidden/>
    <w:rsid w:val="00934DC2"/>
    <w:rPr>
      <w:b/>
      <w:bCs/>
    </w:rPr>
  </w:style>
  <w:style w:type="paragraph" w:styleId="BalloonText">
    <w:name w:val="Balloon Text"/>
    <w:basedOn w:val="Normal"/>
    <w:link w:val="BalloonTextChar"/>
    <w:uiPriority w:val="99"/>
    <w:semiHidden/>
    <w:unhideWhenUsed/>
    <w:rsid w:val="00934D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D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 Rodrigues</cp:lastModifiedBy>
  <cp:revision>2</cp:revision>
  <dcterms:created xsi:type="dcterms:W3CDTF">2016-07-22T15:24:00Z</dcterms:created>
  <dcterms:modified xsi:type="dcterms:W3CDTF">2016-07-22T15:24:00Z</dcterms:modified>
</cp:coreProperties>
</file>