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4C73" w14:textId="77777777" w:rsidR="001C16A0" w:rsidRPr="001C16A0" w:rsidRDefault="001C16A0" w:rsidP="001C16A0">
      <w:pPr>
        <w:jc w:val="center"/>
        <w:rPr>
          <w:rFonts w:eastAsiaTheme="majorEastAsia" w:cstheme="majorBidi"/>
          <w:b/>
          <w:caps/>
          <w:color w:val="1F3864" w:themeColor="accent1" w:themeShade="80"/>
          <w:sz w:val="26"/>
          <w:szCs w:val="26"/>
        </w:rPr>
      </w:pPr>
      <w:bookmarkStart w:id="0" w:name="_GoBack"/>
      <w:bookmarkEnd w:id="0"/>
      <w:r w:rsidRPr="001C16A0">
        <w:rPr>
          <w:rFonts w:eastAsiaTheme="majorEastAsia" w:cstheme="majorBidi"/>
          <w:b/>
          <w:caps/>
          <w:color w:val="1F3864" w:themeColor="accent1" w:themeShade="80"/>
          <w:sz w:val="26"/>
          <w:szCs w:val="26"/>
        </w:rPr>
        <w:t>sHARED VALUES AND guiding PRINCIPLES of the coalition OF BEHAVIORAL SCIENCE ORGANIZATIONS</w:t>
      </w:r>
    </w:p>
    <w:p w14:paraId="323499C7" w14:textId="6610AB5E" w:rsidR="00DF781B" w:rsidRDefault="00DF781B" w:rsidP="00B448ED">
      <w:r w:rsidRPr="000939E0">
        <w:rPr>
          <w:iCs/>
        </w:rPr>
        <w:t xml:space="preserve">The </w:t>
      </w:r>
      <w:r w:rsidR="00BA4B5C" w:rsidRPr="00B5792A">
        <w:rPr>
          <w:iCs/>
        </w:rPr>
        <w:t>Association for Behavior Analysis International, the</w:t>
      </w:r>
      <w:r w:rsidR="00BA4B5C" w:rsidRPr="00B5792A">
        <w:t xml:space="preserve"> </w:t>
      </w:r>
      <w:r w:rsidR="00BA4B5C" w:rsidRPr="00B5792A">
        <w:rPr>
          <w:iCs/>
        </w:rPr>
        <w:t>Association for Contextual Behavior</w:t>
      </w:r>
      <w:r w:rsidR="00676A9C" w:rsidRPr="00B5792A">
        <w:rPr>
          <w:iCs/>
        </w:rPr>
        <w:t>al</w:t>
      </w:r>
      <w:r w:rsidR="00BA4B5C" w:rsidRPr="00B5792A">
        <w:rPr>
          <w:iCs/>
        </w:rPr>
        <w:t xml:space="preserve"> Science</w:t>
      </w:r>
      <w:r w:rsidR="00BA4B5C" w:rsidRPr="00B5792A">
        <w:t>, the</w:t>
      </w:r>
      <w:r w:rsidR="00BA4B5C" w:rsidRPr="00B5792A">
        <w:rPr>
          <w:iCs/>
        </w:rPr>
        <w:t xml:space="preserve"> Association for Positive Behavior Support</w:t>
      </w:r>
      <w:r w:rsidR="00BA4B5C" w:rsidRPr="00B5792A">
        <w:t xml:space="preserve">, </w:t>
      </w:r>
      <w:r w:rsidR="0072104B" w:rsidRPr="00B5792A">
        <w:t>the</w:t>
      </w:r>
      <w:r w:rsidR="0072104B" w:rsidRPr="00B5792A">
        <w:rPr>
          <w:iCs/>
        </w:rPr>
        <w:t xml:space="preserve"> Evolution Institute</w:t>
      </w:r>
      <w:r w:rsidR="0072104B" w:rsidRPr="00B5792A">
        <w:t xml:space="preserve">, </w:t>
      </w:r>
      <w:r w:rsidR="00BA4B5C" w:rsidRPr="00B5792A">
        <w:t>the</w:t>
      </w:r>
      <w:r w:rsidR="00BA4B5C" w:rsidRPr="00B5792A">
        <w:rPr>
          <w:iCs/>
        </w:rPr>
        <w:t xml:space="preserve"> National Prevention Science Coalition</w:t>
      </w:r>
      <w:r w:rsidR="00BA4B5C" w:rsidRPr="00B5792A">
        <w:t xml:space="preserve">, and </w:t>
      </w:r>
      <w:r w:rsidR="00BA4B5C" w:rsidRPr="00B5792A">
        <w:rPr>
          <w:iCs/>
        </w:rPr>
        <w:t>the Society of Behavioral Medicine</w:t>
      </w:r>
      <w:r>
        <w:rPr>
          <w:i/>
          <w:iCs/>
        </w:rPr>
        <w:t xml:space="preserve"> </w:t>
      </w:r>
      <w:r w:rsidR="00B448ED" w:rsidRPr="000939E0">
        <w:rPr>
          <w:iCs/>
        </w:rPr>
        <w:t xml:space="preserve">believe </w:t>
      </w:r>
      <w:r w:rsidR="00B448ED" w:rsidRPr="006750AA">
        <w:t xml:space="preserve">the knowledge </w:t>
      </w:r>
      <w:r w:rsidR="006F47D3" w:rsidRPr="000939E0">
        <w:rPr>
          <w:iCs/>
        </w:rPr>
        <w:t>that</w:t>
      </w:r>
      <w:r w:rsidR="006F47D3" w:rsidRPr="006750AA">
        <w:t xml:space="preserve"> </w:t>
      </w:r>
      <w:r w:rsidR="00B448ED" w:rsidRPr="006750AA">
        <w:t>behavioral scientists have accumulated about human behavior, coupled with scientific methods, can enable our societies to achieve unprecedented advances in human well</w:t>
      </w:r>
      <w:r w:rsidR="0072104B">
        <w:t>-</w:t>
      </w:r>
      <w:r w:rsidR="00B448ED" w:rsidRPr="006750AA">
        <w:t>being.</w:t>
      </w:r>
      <w:r w:rsidR="00B448ED">
        <w:t xml:space="preserve"> In this document, </w:t>
      </w:r>
      <w:r w:rsidR="00937AE3">
        <w:t xml:space="preserve">our coalition </w:t>
      </w:r>
      <w:r w:rsidR="00B448ED" w:rsidRPr="006750AA">
        <w:t>share</w:t>
      </w:r>
      <w:r w:rsidR="0072104B">
        <w:t>s</w:t>
      </w:r>
      <w:r w:rsidR="00B448ED" w:rsidRPr="006750AA">
        <w:t xml:space="preserve"> </w:t>
      </w:r>
      <w:r w:rsidR="00937AE3">
        <w:t xml:space="preserve">its </w:t>
      </w:r>
      <w:r w:rsidR="00B448ED" w:rsidRPr="006750AA">
        <w:t xml:space="preserve">joint </w:t>
      </w:r>
      <w:r w:rsidR="00B448ED">
        <w:t>value</w:t>
      </w:r>
      <w:r w:rsidR="008039F5">
        <w:t>s</w:t>
      </w:r>
      <w:r w:rsidR="00B448ED">
        <w:t xml:space="preserve"> </w:t>
      </w:r>
      <w:r w:rsidR="00B448ED" w:rsidRPr="006750AA">
        <w:t>statement and commitment to collaborate in areas of significance to communities around the world.</w:t>
      </w:r>
    </w:p>
    <w:p w14:paraId="4F777632" w14:textId="2B56B0DB" w:rsidR="00454AB6" w:rsidRDefault="00AD35DB" w:rsidP="00895D78">
      <w:pPr>
        <w:spacing w:after="120" w:line="240" w:lineRule="auto"/>
      </w:pPr>
      <w:r>
        <w:t>Progress</w:t>
      </w:r>
      <w:r w:rsidR="00926560">
        <w:t xml:space="preserve"> </w:t>
      </w:r>
      <w:r w:rsidR="00942B83">
        <w:t xml:space="preserve">over the past 50 </w:t>
      </w:r>
      <w:r w:rsidR="006F47D3">
        <w:t xml:space="preserve">years </w:t>
      </w:r>
      <w:r w:rsidR="0072104B">
        <w:t xml:space="preserve">on major </w:t>
      </w:r>
      <w:r w:rsidR="006F47D3">
        <w:t xml:space="preserve">global </w:t>
      </w:r>
      <w:r w:rsidR="0072104B">
        <w:t xml:space="preserve">challenges </w:t>
      </w:r>
      <w:r w:rsidR="00942B83">
        <w:t>is encouraging</w:t>
      </w:r>
      <w:r w:rsidR="002D1C2A">
        <w:t xml:space="preserve">. </w:t>
      </w:r>
      <w:r w:rsidR="00942B83">
        <w:t>The proportion of the world’s population with housing, running water, medical support</w:t>
      </w:r>
      <w:r>
        <w:t>, improved childhood mortality</w:t>
      </w:r>
      <w:r w:rsidR="002D1C2A">
        <w:t>,</w:t>
      </w:r>
      <w:r w:rsidR="00942B83">
        <w:t xml:space="preserve"> a</w:t>
      </w:r>
      <w:r>
        <w:t>nd access to education</w:t>
      </w:r>
      <w:r w:rsidR="00926560">
        <w:t xml:space="preserve"> is increasing (United Nations</w:t>
      </w:r>
      <w:r>
        <w:t>, 2017</w:t>
      </w:r>
      <w:r w:rsidR="00942B83">
        <w:t>)</w:t>
      </w:r>
      <w:r w:rsidR="002D1C2A">
        <w:t xml:space="preserve">. </w:t>
      </w:r>
      <w:r w:rsidR="00926560">
        <w:t xml:space="preserve">The </w:t>
      </w:r>
      <w:r w:rsidR="002D1C2A">
        <w:t>status</w:t>
      </w:r>
      <w:r w:rsidR="00942B83">
        <w:t xml:space="preserve"> </w:t>
      </w:r>
      <w:r w:rsidR="0072104B">
        <w:t xml:space="preserve">of these </w:t>
      </w:r>
      <w:r w:rsidR="00853195">
        <w:t>challenge</w:t>
      </w:r>
      <w:r w:rsidR="0072104B">
        <w:t xml:space="preserve">s </w:t>
      </w:r>
      <w:r w:rsidR="00942B83">
        <w:t>remains far from what is possible or desirable</w:t>
      </w:r>
      <w:r w:rsidR="000C1DF5">
        <w:t>,</w:t>
      </w:r>
      <w:r w:rsidR="00942B83">
        <w:t xml:space="preserve"> </w:t>
      </w:r>
      <w:r w:rsidR="00926560">
        <w:t xml:space="preserve">but </w:t>
      </w:r>
      <w:r w:rsidR="00942B83">
        <w:t>it is important to consider and celebrate positive trends</w:t>
      </w:r>
      <w:r w:rsidR="002D1C2A">
        <w:t xml:space="preserve">. </w:t>
      </w:r>
      <w:r w:rsidR="00942B83">
        <w:t>Across these</w:t>
      </w:r>
      <w:r w:rsidR="00853195">
        <w:t xml:space="preserve"> areas</w:t>
      </w:r>
      <w:r w:rsidR="00942B83">
        <w:t xml:space="preserve"> </w:t>
      </w:r>
      <w:r w:rsidR="006F47D3">
        <w:t>is</w:t>
      </w:r>
      <w:r w:rsidR="00942B83">
        <w:t xml:space="preserve"> a common theme </w:t>
      </w:r>
      <w:r w:rsidR="006F47D3">
        <w:t xml:space="preserve">of </w:t>
      </w:r>
      <w:r w:rsidR="00942B83">
        <w:t>collaborati</w:t>
      </w:r>
      <w:r w:rsidR="006F47D3">
        <w:t>on</w:t>
      </w:r>
      <w:r w:rsidR="00942B83">
        <w:t xml:space="preserve"> to collect and use data to guide problem solving</w:t>
      </w:r>
      <w:r w:rsidR="002D1C2A">
        <w:t xml:space="preserve">. </w:t>
      </w:r>
      <w:r>
        <w:t xml:space="preserve">This functional use of (a) data, (b) </w:t>
      </w:r>
      <w:r w:rsidR="006F47D3">
        <w:t xml:space="preserve">existing scientific </w:t>
      </w:r>
      <w:r>
        <w:t xml:space="preserve">knowledge, and (c) practical attention to major social problems sets the stage for how behavioral science can both promote socially constructive behavior </w:t>
      </w:r>
      <w:r w:rsidR="000C1DF5">
        <w:t>and limit</w:t>
      </w:r>
      <w:r>
        <w:t xml:space="preserve"> the occurrence and impact of problem behavior.</w:t>
      </w:r>
    </w:p>
    <w:p w14:paraId="0BBFAF4C" w14:textId="691DDF82" w:rsidR="005D1920" w:rsidRPr="00BF2E02" w:rsidRDefault="00BF2E02" w:rsidP="00895D78">
      <w:pPr>
        <w:spacing w:after="120" w:line="240" w:lineRule="auto"/>
      </w:pPr>
      <w:r>
        <w:t>Problem behavior</w:t>
      </w:r>
      <w:r w:rsidR="00A25FC4">
        <w:t xml:space="preserve"> and its adverse impact on quality of life</w:t>
      </w:r>
      <w:r>
        <w:t xml:space="preserve"> </w:t>
      </w:r>
      <w:r w:rsidR="006F47D3">
        <w:t xml:space="preserve">are </w:t>
      </w:r>
      <w:r>
        <w:t xml:space="preserve">by no means new </w:t>
      </w:r>
      <w:r w:rsidR="006F47D3">
        <w:t>phenomena</w:t>
      </w:r>
      <w:r w:rsidR="00A25FC4">
        <w:t>.</w:t>
      </w:r>
      <w:r w:rsidR="009601AD">
        <w:t xml:space="preserve"> Whether </w:t>
      </w:r>
      <w:r w:rsidR="00E85862">
        <w:t xml:space="preserve">problem </w:t>
      </w:r>
      <w:r>
        <w:t xml:space="preserve">behavior </w:t>
      </w:r>
      <w:r w:rsidR="002D1C2A">
        <w:t>has</w:t>
      </w:r>
      <w:r w:rsidR="000C1DF5">
        <w:t xml:space="preserve"> </w:t>
      </w:r>
      <w:r w:rsidR="009601AD">
        <w:t xml:space="preserve">limited </w:t>
      </w:r>
      <w:r w:rsidR="006F47D3">
        <w:t>effects</w:t>
      </w:r>
      <w:r w:rsidR="003061B7">
        <w:t>, such as only</w:t>
      </w:r>
      <w:r>
        <w:t xml:space="preserve"> </w:t>
      </w:r>
      <w:r w:rsidR="009601AD">
        <w:t xml:space="preserve">on </w:t>
      </w:r>
      <w:r>
        <w:t xml:space="preserve">the person engaging in </w:t>
      </w:r>
      <w:r w:rsidR="009601AD">
        <w:t xml:space="preserve">the behavior </w:t>
      </w:r>
      <w:r w:rsidR="003061B7">
        <w:t>and</w:t>
      </w:r>
      <w:r w:rsidR="009601AD">
        <w:t xml:space="preserve"> a </w:t>
      </w:r>
      <w:r w:rsidR="006F47D3">
        <w:t xml:space="preserve">relatively small </w:t>
      </w:r>
      <w:r w:rsidR="003061B7">
        <w:t>number of</w:t>
      </w:r>
      <w:r w:rsidR="009601AD">
        <w:t xml:space="preserve"> other</w:t>
      </w:r>
      <w:r w:rsidR="003061B7">
        <w:t>s</w:t>
      </w:r>
      <w:r w:rsidR="009601AD">
        <w:t xml:space="preserve"> (e.g., abuse of opioids</w:t>
      </w:r>
      <w:r w:rsidR="00E85862">
        <w:t xml:space="preserve"> leading to premature death</w:t>
      </w:r>
      <w:r w:rsidR="00442F7D">
        <w:t xml:space="preserve"> and the</w:t>
      </w:r>
      <w:r w:rsidR="00A25FC4">
        <w:t xml:space="preserve"> negative</w:t>
      </w:r>
      <w:r w:rsidR="00442F7D">
        <w:t xml:space="preserve"> impact this can have on a family</w:t>
      </w:r>
      <w:r w:rsidR="009601AD">
        <w:t>)</w:t>
      </w:r>
      <w:r w:rsidR="00FF173C">
        <w:t>,</w:t>
      </w:r>
      <w:r w:rsidR="009601AD">
        <w:t xml:space="preserve"> or </w:t>
      </w:r>
      <w:r w:rsidR="002D1C2A">
        <w:t xml:space="preserve">if </w:t>
      </w:r>
      <w:r w:rsidR="009601AD">
        <w:t xml:space="preserve">the behavior </w:t>
      </w:r>
      <w:r w:rsidR="00442F7D">
        <w:t>creates trauma for</w:t>
      </w:r>
      <w:r w:rsidR="009601AD">
        <w:t xml:space="preserve"> larger group</w:t>
      </w:r>
      <w:r w:rsidR="00973C5A">
        <w:t>s</w:t>
      </w:r>
      <w:r w:rsidR="009601AD">
        <w:t xml:space="preserve"> (e.g., mass shootings such as </w:t>
      </w:r>
      <w:r w:rsidR="006F47D3">
        <w:t xml:space="preserve">in </w:t>
      </w:r>
      <w:r w:rsidR="009601AD">
        <w:t>Sandy Hook</w:t>
      </w:r>
      <w:r w:rsidR="003061B7">
        <w:t>, Las Vegas,</w:t>
      </w:r>
      <w:r w:rsidR="009601AD">
        <w:t xml:space="preserve"> and recently Parkland, Florida</w:t>
      </w:r>
      <w:r w:rsidR="009601AD" w:rsidRPr="00216CD7">
        <w:t xml:space="preserve">), the key to </w:t>
      </w:r>
      <w:r w:rsidR="00DF6792" w:rsidRPr="00216CD7">
        <w:t xml:space="preserve">addressing </w:t>
      </w:r>
      <w:r w:rsidR="002D1C2A" w:rsidRPr="00216CD7">
        <w:t>these behaviors</w:t>
      </w:r>
      <w:r w:rsidR="00DF6792" w:rsidRPr="00216CD7">
        <w:t xml:space="preserve"> </w:t>
      </w:r>
      <w:r w:rsidR="00FF173C">
        <w:t>is</w:t>
      </w:r>
      <w:r w:rsidR="008039F5">
        <w:t xml:space="preserve"> </w:t>
      </w:r>
      <w:r w:rsidR="009601AD" w:rsidRPr="00216CD7">
        <w:t>working upst</w:t>
      </w:r>
      <w:r w:rsidR="00DF6792" w:rsidRPr="00216CD7">
        <w:t xml:space="preserve">ream in </w:t>
      </w:r>
      <w:r w:rsidR="00A25FC4" w:rsidRPr="00216CD7">
        <w:t>the name of prevention to understand</w:t>
      </w:r>
      <w:r w:rsidR="008039F5">
        <w:t xml:space="preserve"> (a)</w:t>
      </w:r>
      <w:r w:rsidR="008039F5" w:rsidRPr="00216CD7">
        <w:t xml:space="preserve"> </w:t>
      </w:r>
      <w:r w:rsidR="00522DD5" w:rsidRPr="00216CD7">
        <w:t>root causes</w:t>
      </w:r>
      <w:r w:rsidR="009601AD" w:rsidRPr="00216CD7">
        <w:t xml:space="preserve"> and</w:t>
      </w:r>
      <w:r w:rsidR="008039F5">
        <w:t xml:space="preserve"> (b)</w:t>
      </w:r>
      <w:r w:rsidR="009601AD" w:rsidRPr="00216CD7">
        <w:t xml:space="preserve"> </w:t>
      </w:r>
      <w:r w:rsidR="009528B0" w:rsidRPr="00216CD7">
        <w:t>environmental circumstances</w:t>
      </w:r>
      <w:r w:rsidR="009601AD" w:rsidRPr="00216CD7">
        <w:t>.</w:t>
      </w:r>
      <w:r w:rsidR="00522DD5">
        <w:t xml:space="preserve"> I</w:t>
      </w:r>
      <w:r w:rsidR="002D1C2A">
        <w:t>f we cannot prevent</w:t>
      </w:r>
      <w:r w:rsidR="00522DD5">
        <w:t xml:space="preserve"> the behavior or condition of concern entirely, </w:t>
      </w:r>
      <w:r w:rsidR="002D1C2A">
        <w:t>we must</w:t>
      </w:r>
      <w:r w:rsidR="00522DD5">
        <w:t xml:space="preserve"> provide proactive early intervention </w:t>
      </w:r>
      <w:r w:rsidR="002D1C2A">
        <w:t>that reflects</w:t>
      </w:r>
      <w:r w:rsidR="00522DD5">
        <w:t xml:space="preserve"> evidence-based programs and practices.</w:t>
      </w:r>
      <w:r w:rsidR="009601AD">
        <w:t xml:space="preserve"> </w:t>
      </w:r>
      <w:r w:rsidR="00522DD5">
        <w:t>P</w:t>
      </w:r>
      <w:r w:rsidR="00A25FC4">
        <w:t xml:space="preserve">reventive </w:t>
      </w:r>
      <w:r w:rsidR="00522DD5">
        <w:t xml:space="preserve">and proactive </w:t>
      </w:r>
      <w:r w:rsidR="00A25FC4">
        <w:t>approach</w:t>
      </w:r>
      <w:r w:rsidR="00522DD5">
        <w:t>es require</w:t>
      </w:r>
      <w:r w:rsidR="00A25FC4">
        <w:t xml:space="preserve"> u</w:t>
      </w:r>
      <w:r w:rsidR="00442F7D">
        <w:t>nderstanding the relationship</w:t>
      </w:r>
      <w:r w:rsidR="002D1C2A">
        <w:t>s</w:t>
      </w:r>
      <w:r w:rsidR="00442F7D">
        <w:t xml:space="preserve"> </w:t>
      </w:r>
      <w:r w:rsidR="002D1C2A">
        <w:t>among</w:t>
      </w:r>
      <w:r w:rsidR="00DB17A3">
        <w:t xml:space="preserve"> risk and protective factors. Ultimately,</w:t>
      </w:r>
      <w:r w:rsidR="00442F7D">
        <w:t xml:space="preserve"> t</w:t>
      </w:r>
      <w:r w:rsidR="00103EF0">
        <w:t>he solutio</w:t>
      </w:r>
      <w:r w:rsidR="00642E96">
        <w:t>n</w:t>
      </w:r>
      <w:r w:rsidR="006F47D3">
        <w:t>s</w:t>
      </w:r>
      <w:r w:rsidR="00642E96">
        <w:t xml:space="preserve"> </w:t>
      </w:r>
      <w:r w:rsidR="000C1DF5">
        <w:t>for</w:t>
      </w:r>
      <w:r w:rsidR="00642E96">
        <w:t xml:space="preserve"> many of society’s concerns </w:t>
      </w:r>
      <w:r w:rsidR="000C1DF5">
        <w:t>require</w:t>
      </w:r>
      <w:r w:rsidR="00103EF0">
        <w:t xml:space="preserve"> </w:t>
      </w:r>
      <w:r w:rsidR="00A25FC4">
        <w:t xml:space="preserve">building protective factors to mitigate risk </w:t>
      </w:r>
      <w:r w:rsidR="000C1DF5">
        <w:t>by promoting</w:t>
      </w:r>
      <w:r w:rsidR="00A25FC4">
        <w:t xml:space="preserve"> prosocial behavior</w:t>
      </w:r>
      <w:r w:rsidR="00442F7D">
        <w:t xml:space="preserve"> that facilitate</w:t>
      </w:r>
      <w:r w:rsidR="00522DD5">
        <w:t>s</w:t>
      </w:r>
      <w:r w:rsidR="00103EF0">
        <w:t xml:space="preserve"> social, emotional</w:t>
      </w:r>
      <w:r w:rsidR="002D1C2A">
        <w:t>,</w:t>
      </w:r>
      <w:r w:rsidR="00103EF0">
        <w:t xml:space="preserve"> and beha</w:t>
      </w:r>
      <w:r w:rsidR="00754241">
        <w:t>vioral well</w:t>
      </w:r>
      <w:r w:rsidR="006F47D3">
        <w:t>-</w:t>
      </w:r>
      <w:r w:rsidR="00754241">
        <w:t>being.</w:t>
      </w:r>
    </w:p>
    <w:p w14:paraId="53B49F5F" w14:textId="77777777" w:rsidR="005D1920" w:rsidRDefault="005D1920" w:rsidP="00D12528">
      <w:pPr>
        <w:pStyle w:val="Heading2"/>
        <w:numPr>
          <w:ilvl w:val="0"/>
          <w:numId w:val="0"/>
        </w:numPr>
        <w:spacing w:before="240"/>
      </w:pPr>
      <w:r>
        <w:t>BASIC FACTS PROVIDE CONTEXT</w:t>
      </w:r>
    </w:p>
    <w:p w14:paraId="5352D228" w14:textId="3E90DBA7" w:rsidR="005D1920" w:rsidRPr="005D1920" w:rsidRDefault="005D1920" w:rsidP="00895D78">
      <w:pPr>
        <w:spacing w:after="120" w:line="240" w:lineRule="auto"/>
      </w:pPr>
      <w:r>
        <w:t xml:space="preserve">The late Senator </w:t>
      </w:r>
      <w:r w:rsidR="00BA1CAF">
        <w:t xml:space="preserve">Daniel </w:t>
      </w:r>
      <w:r>
        <w:t>Patr</w:t>
      </w:r>
      <w:r w:rsidR="00BA1CAF">
        <w:t>ick Moyni</w:t>
      </w:r>
      <w:r>
        <w:t xml:space="preserve">han </w:t>
      </w:r>
      <w:r w:rsidR="00BA1CAF">
        <w:t xml:space="preserve">from New York </w:t>
      </w:r>
      <w:r w:rsidR="002D1C2A">
        <w:t>once acknowledged t</w:t>
      </w:r>
      <w:r>
        <w:t xml:space="preserve">hat people are entitled to their own opinions </w:t>
      </w:r>
      <w:r w:rsidR="002354E1">
        <w:t>but</w:t>
      </w:r>
      <w:r>
        <w:t xml:space="preserve"> not to their own facts. This sentiment, perhaps now more than ever</w:t>
      </w:r>
      <w:r w:rsidR="002D1C2A">
        <w:t>,</w:t>
      </w:r>
      <w:r>
        <w:t xml:space="preserve"> should serve as a mantra for the scientific community. In this spirit, </w:t>
      </w:r>
      <w:r w:rsidR="002D1C2A">
        <w:t xml:space="preserve">we present </w:t>
      </w:r>
      <w:r>
        <w:t xml:space="preserve">the following facts to provide some context for the formation of the Coalition of Behavioral Science Organizations. </w:t>
      </w:r>
    </w:p>
    <w:p w14:paraId="748B49CF" w14:textId="56476205" w:rsidR="00BB1D20" w:rsidRPr="00564B73" w:rsidRDefault="00BB1D20" w:rsidP="00BB1D20">
      <w:pPr>
        <w:pStyle w:val="Heading3"/>
      </w:pPr>
      <w:r>
        <w:t xml:space="preserve">Facts </w:t>
      </w:r>
      <w:r w:rsidR="0072104B">
        <w:t xml:space="preserve">About </w:t>
      </w:r>
      <w:r w:rsidRPr="00564B73">
        <w:t>Enhancing Personal and Family Well</w:t>
      </w:r>
      <w:r w:rsidR="00352D77">
        <w:t>-</w:t>
      </w:r>
      <w:r w:rsidR="002D1C2A">
        <w:t>B</w:t>
      </w:r>
      <w:r w:rsidRPr="00564B73">
        <w:t xml:space="preserve">eing </w:t>
      </w:r>
    </w:p>
    <w:p w14:paraId="1E9B798C" w14:textId="50D3AD2D" w:rsidR="00BB1D20" w:rsidRPr="00895D78" w:rsidRDefault="00BB1D20" w:rsidP="00895D78">
      <w:pPr>
        <w:spacing w:after="120" w:line="240" w:lineRule="auto"/>
      </w:pPr>
      <w:r w:rsidRPr="00564B73">
        <w:t>Most psychological and behavioral problems begin in childhood or adolescence</w:t>
      </w:r>
      <w:bookmarkStart w:id="1" w:name="_Hlk516206220"/>
      <w:r w:rsidR="00DE64F7">
        <w:t xml:space="preserve"> </w:t>
      </w:r>
      <w:r w:rsidR="00DE64F7" w:rsidRPr="00564B73">
        <w:t>(NRC &amp; IOM, 2009)</w:t>
      </w:r>
      <w:r w:rsidR="00116EB0">
        <w:t>.</w:t>
      </w:r>
      <w:r w:rsidRPr="00564B73">
        <w:t xml:space="preserve"> </w:t>
      </w:r>
      <w:bookmarkEnd w:id="1"/>
      <w:r w:rsidRPr="00564B73">
        <w:t xml:space="preserve">The most important malleable influence </w:t>
      </w:r>
      <w:r w:rsidRPr="00122B8A">
        <w:t xml:space="preserve">on the development of behavioral problems is the family. Research on </w:t>
      </w:r>
      <w:r w:rsidR="00FF173C">
        <w:t>a</w:t>
      </w:r>
      <w:r w:rsidR="00FF173C" w:rsidRPr="00122B8A">
        <w:t xml:space="preserve">dverse </w:t>
      </w:r>
      <w:r w:rsidR="00FF173C">
        <w:t>c</w:t>
      </w:r>
      <w:r w:rsidR="00FF173C" w:rsidRPr="00122B8A">
        <w:t xml:space="preserve">hildhood </w:t>
      </w:r>
      <w:r w:rsidR="00FF173C">
        <w:t>e</w:t>
      </w:r>
      <w:r w:rsidR="00FF173C" w:rsidRPr="00122B8A">
        <w:t xml:space="preserve">xperiences </w:t>
      </w:r>
      <w:r w:rsidRPr="00122B8A">
        <w:t>(</w:t>
      </w:r>
      <w:r w:rsidRPr="00B04406">
        <w:t xml:space="preserve">Felitti et al., 1998) has documented how adverse experiences and trauma during childhood contribute to a wide range of psychological, behavioral, and health problems. Research on healthy child development </w:t>
      </w:r>
      <w:r w:rsidRPr="00FD5AAC">
        <w:t>shows</w:t>
      </w:r>
      <w:r w:rsidRPr="00B04406">
        <w:t xml:space="preserve"> that problems are particularly likely to develop in families high in coercive interactions (Patterson, 2016) and low in positive support for children’s intellectual, social, and physical skills (Biglan</w:t>
      </w:r>
      <w:r w:rsidR="0064703A">
        <w:t xml:space="preserve">, Flay, Embry, &amp; Sandler, </w:t>
      </w:r>
      <w:r w:rsidRPr="00B04406">
        <w:t xml:space="preserve">2012). </w:t>
      </w:r>
    </w:p>
    <w:p w14:paraId="4D92B744" w14:textId="4EF66D46" w:rsidR="00BB1D20" w:rsidRPr="00564B73" w:rsidRDefault="00BB1D20" w:rsidP="00895D78">
      <w:pPr>
        <w:spacing w:after="120" w:line="240" w:lineRule="auto"/>
      </w:pPr>
      <w:r w:rsidRPr="00122B8A">
        <w:t xml:space="preserve">Leslie </w:t>
      </w:r>
      <w:r w:rsidR="000C1DF5">
        <w:t>et al. (</w:t>
      </w:r>
      <w:r w:rsidRPr="00122B8A">
        <w:t xml:space="preserve">2016) identified 16 interventions </w:t>
      </w:r>
      <w:r w:rsidRPr="00564B73">
        <w:t>that have produced significant improvements i</w:t>
      </w:r>
      <w:r>
        <w:t xml:space="preserve">n family functioning while </w:t>
      </w:r>
      <w:r w:rsidRPr="00564B73">
        <w:t>prevent</w:t>
      </w:r>
      <w:r>
        <w:t>ing future problems</w:t>
      </w:r>
      <w:r w:rsidRPr="00564B73">
        <w:t xml:space="preserve">. </w:t>
      </w:r>
      <w:r w:rsidR="0079415B" w:rsidRPr="00564B73">
        <w:t>The</w:t>
      </w:r>
      <w:r w:rsidR="0079415B">
        <w:t xml:space="preserve"> 16</w:t>
      </w:r>
      <w:r w:rsidR="0079415B" w:rsidRPr="00564B73">
        <w:t xml:space="preserve"> </w:t>
      </w:r>
      <w:r w:rsidR="00FF173C" w:rsidRPr="00564B73">
        <w:t>programs</w:t>
      </w:r>
      <w:r w:rsidR="00FF173C">
        <w:t>’ foci</w:t>
      </w:r>
      <w:r w:rsidR="00FF173C" w:rsidRPr="00564B73">
        <w:t xml:space="preserve"> </w:t>
      </w:r>
      <w:r w:rsidRPr="00564B73">
        <w:t xml:space="preserve">range from </w:t>
      </w:r>
      <w:r w:rsidR="005A6970">
        <w:t>gestation</w:t>
      </w:r>
      <w:r w:rsidRPr="00564B73">
        <w:t xml:space="preserve"> </w:t>
      </w:r>
      <w:r w:rsidRPr="00564B73">
        <w:lastRenderedPageBreak/>
        <w:t xml:space="preserve">and infancy through </w:t>
      </w:r>
      <w:r>
        <w:t>adolesce</w:t>
      </w:r>
      <w:r w:rsidR="000C1DF5">
        <w:t>nce</w:t>
      </w:r>
      <w:r>
        <w:t>. These</w:t>
      </w:r>
      <w:r w:rsidRPr="00564B73">
        <w:t xml:space="preserve"> </w:t>
      </w:r>
      <w:r>
        <w:t xml:space="preserve">family strategies </w:t>
      </w:r>
      <w:r w:rsidRPr="00564B73">
        <w:t>can prevent child maltreatment and coe</w:t>
      </w:r>
      <w:r>
        <w:t xml:space="preserve">rcion and </w:t>
      </w:r>
      <w:r w:rsidR="0079415B">
        <w:t xml:space="preserve">encourage </w:t>
      </w:r>
      <w:r w:rsidRPr="00564B73">
        <w:t xml:space="preserve">positive </w:t>
      </w:r>
      <w:r w:rsidR="0079415B">
        <w:t xml:space="preserve">parent/child </w:t>
      </w:r>
      <w:r w:rsidRPr="00564B73">
        <w:t xml:space="preserve">relationships (e.g., </w:t>
      </w:r>
      <w:r w:rsidRPr="00122B8A">
        <w:t>Patterson</w:t>
      </w:r>
      <w:r w:rsidRPr="00564B73">
        <w:t xml:space="preserve">, </w:t>
      </w:r>
      <w:r w:rsidRPr="00CD1F4F">
        <w:t>Forgatch</w:t>
      </w:r>
      <w:r w:rsidRPr="00564B73">
        <w:t>, &amp; DeGarmo,</w:t>
      </w:r>
      <w:r>
        <w:t xml:space="preserve"> 2010). Collectively, these family interventions</w:t>
      </w:r>
      <w:r w:rsidRPr="00564B73">
        <w:t xml:space="preserve"> have reduced or prevented virtually all of the most common and </w:t>
      </w:r>
      <w:r w:rsidR="005A6970" w:rsidRPr="00564B73">
        <w:t>costl</w:t>
      </w:r>
      <w:r w:rsidR="005A6970">
        <w:t>iest</w:t>
      </w:r>
      <w:r w:rsidR="005A6970" w:rsidRPr="00564B73">
        <w:t xml:space="preserve"> </w:t>
      </w:r>
      <w:r w:rsidRPr="00564B73">
        <w:t xml:space="preserve">psychological and behavioral problems, including antisocial behavior; delinquency; </w:t>
      </w:r>
      <w:r w:rsidR="0079415B" w:rsidRPr="00564B73">
        <w:t xml:space="preserve">use </w:t>
      </w:r>
      <w:r w:rsidR="0079415B">
        <w:t xml:space="preserve">of </w:t>
      </w:r>
      <w:r w:rsidRPr="00564B73">
        <w:t>tobacco, alcohol, and other substance</w:t>
      </w:r>
      <w:r w:rsidR="0079415B">
        <w:t>s</w:t>
      </w:r>
      <w:r w:rsidRPr="00564B73">
        <w:t xml:space="preserve">; truancy; depression; and </w:t>
      </w:r>
      <w:r w:rsidR="0079415B" w:rsidRPr="00564B73">
        <w:t xml:space="preserve">risky </w:t>
      </w:r>
      <w:r w:rsidRPr="00564B73">
        <w:t xml:space="preserve">sexual behavior. </w:t>
      </w:r>
      <w:r w:rsidR="00E71A72">
        <w:t xml:space="preserve">Notably, experimental trials have shown these interventions </w:t>
      </w:r>
      <w:r w:rsidR="00E71A72" w:rsidRPr="00564B73">
        <w:t>to be effecti</w:t>
      </w:r>
      <w:r w:rsidR="00E71A72">
        <w:t xml:space="preserve">ve for diverse populations. </w:t>
      </w:r>
      <w:r w:rsidRPr="00564B73">
        <w:t>Ther</w:t>
      </w:r>
      <w:r>
        <w:t xml:space="preserve">e is also evidence that </w:t>
      </w:r>
      <w:r w:rsidRPr="00564B73">
        <w:t>the</w:t>
      </w:r>
      <w:r w:rsidR="0079415B">
        <w:t xml:space="preserve">y </w:t>
      </w:r>
      <w:r>
        <w:t xml:space="preserve">are cost efficient when compared to projected costs of services </w:t>
      </w:r>
      <w:r w:rsidR="00B2036A">
        <w:t xml:space="preserve">provided </w:t>
      </w:r>
      <w:r>
        <w:t xml:space="preserve">later </w:t>
      </w:r>
      <w:r w:rsidR="00754241">
        <w:t>(</w:t>
      </w:r>
      <w:r w:rsidRPr="00122B8A">
        <w:t>Lee</w:t>
      </w:r>
      <w:r w:rsidRPr="00564B73">
        <w:t xml:space="preserve"> et al., 2012</w:t>
      </w:r>
      <w:r w:rsidR="005553B9">
        <w:t>; Lee, Drake, Pennucci, Bjornstad, &amp; Edovald, 2012</w:t>
      </w:r>
      <w:r w:rsidR="00A15CDF">
        <w:t>).</w:t>
      </w:r>
      <w:r w:rsidRPr="00564B73">
        <w:t xml:space="preserve"> </w:t>
      </w:r>
    </w:p>
    <w:p w14:paraId="20E15051" w14:textId="4E5543B5" w:rsidR="00BB1D20" w:rsidRPr="00895D78" w:rsidRDefault="00BB1D20" w:rsidP="00895D78">
      <w:pPr>
        <w:spacing w:after="120" w:line="240" w:lineRule="auto"/>
      </w:pPr>
      <w:r w:rsidRPr="00564B73">
        <w:t xml:space="preserve">The </w:t>
      </w:r>
      <w:r w:rsidR="00E71A72">
        <w:t>demonstrated success</w:t>
      </w:r>
      <w:r w:rsidRPr="00564B73">
        <w:t xml:space="preserve"> of these interventions </w:t>
      </w:r>
      <w:r w:rsidR="0079415B" w:rsidRPr="00B04406">
        <w:t>across communities, states, and entire nations (Chamberlain, 2017; Ogden &amp; Amlund Hagen, 2008; Ogden, Forgatch, Askeland, Patterson, &amp; Bullock, 2005; Sanders, Turner, &amp; McWilliam, 2015</w:t>
      </w:r>
      <w:r w:rsidR="0079415B" w:rsidRPr="00564B73">
        <w:t>)</w:t>
      </w:r>
      <w:r w:rsidR="0079415B">
        <w:t xml:space="preserve"> </w:t>
      </w:r>
      <w:r w:rsidRPr="00564B73">
        <w:t>has prompted increased effort</w:t>
      </w:r>
      <w:r w:rsidR="0079415B">
        <w:t>s</w:t>
      </w:r>
      <w:r w:rsidRPr="00564B73">
        <w:t xml:space="preserve"> to</w:t>
      </w:r>
      <w:r w:rsidR="0079415B">
        <w:t xml:space="preserve">ward </w:t>
      </w:r>
      <w:r w:rsidRPr="00564B73">
        <w:t xml:space="preserve">wide and </w:t>
      </w:r>
      <w:r w:rsidRPr="00122B8A">
        <w:t>effective implement</w:t>
      </w:r>
      <w:r w:rsidR="0079415B">
        <w:t>ation</w:t>
      </w:r>
      <w:r w:rsidRPr="00122B8A">
        <w:t xml:space="preserve">. </w:t>
      </w:r>
      <w:r w:rsidR="00E71A72">
        <w:t>However</w:t>
      </w:r>
      <w:r w:rsidR="0079415B">
        <w:t xml:space="preserve">, </w:t>
      </w:r>
      <w:r w:rsidRPr="00122B8A">
        <w:t>we continue to reach only a fraction of the families that could benefit from such help (</w:t>
      </w:r>
      <w:r w:rsidRPr="00B04406">
        <w:t xml:space="preserve">Forgatch, Patterson, &amp; Gewirtz, </w:t>
      </w:r>
      <w:r w:rsidRPr="00564B73">
        <w:t>2013). To</w:t>
      </w:r>
      <w:r>
        <w:t xml:space="preserve"> </w:t>
      </w:r>
      <w:r w:rsidR="0034580C">
        <w:t xml:space="preserve">do a better job of </w:t>
      </w:r>
      <w:r w:rsidRPr="00564B73">
        <w:t>reach</w:t>
      </w:r>
      <w:r w:rsidR="0034580C">
        <w:t>ing</w:t>
      </w:r>
      <w:r w:rsidRPr="00564B73">
        <w:t xml:space="preserve"> families </w:t>
      </w:r>
      <w:r w:rsidR="0075750D">
        <w:t xml:space="preserve">in need </w:t>
      </w:r>
      <w:r w:rsidRPr="00564B73">
        <w:t>require</w:t>
      </w:r>
      <w:r w:rsidR="0034580C">
        <w:t>s</w:t>
      </w:r>
      <w:r w:rsidR="00615B87">
        <w:t xml:space="preserve"> further</w:t>
      </w:r>
      <w:r>
        <w:t xml:space="preserve"> research</w:t>
      </w:r>
      <w:r w:rsidR="00853195">
        <w:t>,</w:t>
      </w:r>
      <w:r>
        <w:t xml:space="preserve"> </w:t>
      </w:r>
      <w:r w:rsidR="00615B87">
        <w:t>plus</w:t>
      </w:r>
      <w:r>
        <w:t xml:space="preserve"> </w:t>
      </w:r>
      <w:r w:rsidR="00615B87">
        <w:t xml:space="preserve">translation of </w:t>
      </w:r>
      <w:r>
        <w:t>that research into practice</w:t>
      </w:r>
      <w:r w:rsidR="00853195">
        <w:t>,</w:t>
      </w:r>
      <w:r>
        <w:t xml:space="preserve"> </w:t>
      </w:r>
      <w:r w:rsidR="00615B87">
        <w:t>plus</w:t>
      </w:r>
      <w:r w:rsidRPr="00564B73">
        <w:t xml:space="preserve"> policies that provide an efficient and effective pipeline t</w:t>
      </w:r>
      <w:r>
        <w:t>o</w:t>
      </w:r>
      <w:r w:rsidRPr="00564B73">
        <w:t xml:space="preserve"> make </w:t>
      </w:r>
      <w:r w:rsidR="00615B87">
        <w:t>this help</w:t>
      </w:r>
      <w:r w:rsidR="00A15CDF">
        <w:t xml:space="preserve"> available.</w:t>
      </w:r>
      <w:r w:rsidR="00351986">
        <w:t xml:space="preserve"> </w:t>
      </w:r>
      <w:r w:rsidR="00351986" w:rsidRPr="00351986">
        <w:t>This will occur only when a critical mass of citizens and policymakers are aware of what can be accomplished and when policies are in place to support implementation and evaluation of evidence-based approaches</w:t>
      </w:r>
      <w:r w:rsidR="00351986">
        <w:t>.</w:t>
      </w:r>
    </w:p>
    <w:p w14:paraId="2B552FC9" w14:textId="3813637A" w:rsidR="005203C2" w:rsidRPr="00564B73" w:rsidRDefault="00E565CD" w:rsidP="005203C2">
      <w:pPr>
        <w:pStyle w:val="Heading3"/>
        <w:rPr>
          <w:sz w:val="22"/>
        </w:rPr>
      </w:pPr>
      <w:r>
        <w:t xml:space="preserve">Facts </w:t>
      </w:r>
      <w:r w:rsidR="0072104B">
        <w:t xml:space="preserve">About </w:t>
      </w:r>
      <w:r w:rsidR="005203C2" w:rsidRPr="00564B73">
        <w:t>Prevention and Treatment of Psychological and Behavioral Problems</w:t>
      </w:r>
      <w:r w:rsidR="005203C2" w:rsidRPr="00564B73">
        <w:rPr>
          <w:sz w:val="22"/>
        </w:rPr>
        <w:t xml:space="preserve"> </w:t>
      </w:r>
    </w:p>
    <w:p w14:paraId="77B7F219" w14:textId="03A64EE1" w:rsidR="00A15CDF" w:rsidRDefault="00A17AA3" w:rsidP="00895D78">
      <w:pPr>
        <w:spacing w:after="120" w:line="240" w:lineRule="auto"/>
      </w:pPr>
      <w:r w:rsidRPr="00B04406">
        <w:t>Since 1960,</w:t>
      </w:r>
      <w:r w:rsidR="005203C2" w:rsidRPr="00B04406">
        <w:t xml:space="preserve"> </w:t>
      </w:r>
      <w:r w:rsidRPr="00B04406">
        <w:t>rigorous research has demonstrated that</w:t>
      </w:r>
      <w:r w:rsidR="005203C2" w:rsidRPr="00B04406">
        <w:t xml:space="preserve"> effective interventions exist for virtually every significant psychological or behavioral problem (</w:t>
      </w:r>
      <w:r w:rsidR="0064703A" w:rsidRPr="00B04406">
        <w:t>A</w:t>
      </w:r>
      <w:r w:rsidR="0064703A">
        <w:t>merican Psychological Association,</w:t>
      </w:r>
      <w:r w:rsidR="0064703A" w:rsidRPr="00B04406">
        <w:t xml:space="preserve"> </w:t>
      </w:r>
      <w:r w:rsidR="005203C2" w:rsidRPr="00B04406">
        <w:t xml:space="preserve">Presidential Task Force on Evidence-Based Practice, 2006). </w:t>
      </w:r>
      <w:r w:rsidR="00EC4D4A" w:rsidRPr="00B04406">
        <w:t xml:space="preserve">Multiple randomized controlled trials have helped identify effective psychological and educational treatments for depression (Cujipers, van Straten, &amp; Warmedam, 2007), pain (Wetherell et al., 2011), anxiety (Waters &amp; Craske, 2016), </w:t>
      </w:r>
      <w:r w:rsidR="00F42D67">
        <w:t>among others</w:t>
      </w:r>
      <w:r w:rsidR="00EC4D4A" w:rsidRPr="00B04406">
        <w:t>.</w:t>
      </w:r>
      <w:r w:rsidR="00EC4D4A">
        <w:t xml:space="preserve"> Moreover, </w:t>
      </w:r>
      <w:r w:rsidR="00615B87" w:rsidRPr="00325A95">
        <w:t>there has been</w:t>
      </w:r>
      <w:r w:rsidR="00EC4D4A" w:rsidRPr="00615B87">
        <w:t xml:space="preserve"> progress</w:t>
      </w:r>
      <w:r w:rsidR="00EC4D4A" w:rsidRPr="00564B73">
        <w:t xml:space="preserve"> </w:t>
      </w:r>
      <w:r w:rsidR="00615B87">
        <w:t>o</w:t>
      </w:r>
      <w:r w:rsidR="00615B87" w:rsidRPr="00564B73">
        <w:t xml:space="preserve">n </w:t>
      </w:r>
      <w:r w:rsidR="00EC4D4A" w:rsidRPr="00564B73">
        <w:t>establishing effective</w:t>
      </w:r>
      <w:r w:rsidR="00EC4D4A">
        <w:t>, supportive</w:t>
      </w:r>
      <w:r w:rsidR="00EC4D4A" w:rsidRPr="00564B73">
        <w:t xml:space="preserve"> environments to prevent risk</w:t>
      </w:r>
      <w:r w:rsidR="00615B87">
        <w:t>y</w:t>
      </w:r>
      <w:r w:rsidR="00EC4D4A" w:rsidRPr="00564B73">
        <w:t xml:space="preserve"> and/or maladaptive behaviors (e.g., School-Wide Positive Behavioral Interv</w:t>
      </w:r>
      <w:r w:rsidR="00EC4D4A">
        <w:t>entions and Supports).</w:t>
      </w:r>
    </w:p>
    <w:p w14:paraId="5129B6E4" w14:textId="4F290109" w:rsidR="005203C2" w:rsidRPr="00564B73" w:rsidRDefault="005203C2">
      <w:pPr>
        <w:spacing w:after="120" w:line="240" w:lineRule="auto"/>
      </w:pPr>
      <w:r w:rsidRPr="00B04406">
        <w:t xml:space="preserve">Of course, not every person’s problem </w:t>
      </w:r>
      <w:r w:rsidR="00924E44" w:rsidRPr="00B04406">
        <w:t xml:space="preserve">behavior or condition </w:t>
      </w:r>
      <w:r w:rsidRPr="00B04406">
        <w:t>can be effectively treated or fully prevented. However,</w:t>
      </w:r>
      <w:r w:rsidR="00EC4D4A">
        <w:t xml:space="preserve"> </w:t>
      </w:r>
      <w:r w:rsidR="00615B87">
        <w:t>g</w:t>
      </w:r>
      <w:r w:rsidR="00EC4D4A">
        <w:t xml:space="preserve">iven the efficacy of </w:t>
      </w:r>
      <w:r w:rsidRPr="00564B73">
        <w:t xml:space="preserve">evidence-based </w:t>
      </w:r>
      <w:r w:rsidR="005F43A7">
        <w:t xml:space="preserve">prevention and </w:t>
      </w:r>
      <w:r w:rsidR="00051D1F">
        <w:t>intervention</w:t>
      </w:r>
      <w:r w:rsidR="00EF4E48">
        <w:t xml:space="preserve"> methods</w:t>
      </w:r>
      <w:r w:rsidR="00EC4D4A">
        <w:t>, society’s challenge is to make</w:t>
      </w:r>
      <w:r w:rsidR="0032699D">
        <w:t xml:space="preserve"> </w:t>
      </w:r>
      <w:r w:rsidR="00EC4D4A">
        <w:t>them widely available and accessible.</w:t>
      </w:r>
      <w:r w:rsidRPr="00564B73">
        <w:t xml:space="preserve"> </w:t>
      </w:r>
      <w:r w:rsidR="00B817CC">
        <w:t>P</w:t>
      </w:r>
      <w:r w:rsidRPr="00564B73">
        <w:t>roviding</w:t>
      </w:r>
      <w:r w:rsidR="00924E44">
        <w:t xml:space="preserve"> </w:t>
      </w:r>
      <w:r w:rsidR="00A17AA3">
        <w:t xml:space="preserve">such </w:t>
      </w:r>
      <w:r w:rsidR="00924E44">
        <w:t>effective</w:t>
      </w:r>
      <w:r w:rsidRPr="00564B73">
        <w:t xml:space="preserve"> individualized supports</w:t>
      </w:r>
      <w:r w:rsidR="00A17AA3">
        <w:t xml:space="preserve"> </w:t>
      </w:r>
      <w:r w:rsidRPr="00564B73">
        <w:t xml:space="preserve">is </w:t>
      </w:r>
      <w:r w:rsidR="00924E44">
        <w:t>increasingly attainable</w:t>
      </w:r>
      <w:r w:rsidRPr="00564B73">
        <w:t>. Under the Affordable Care Act, more people have coverage for these services</w:t>
      </w:r>
      <w:r w:rsidR="00B817CC">
        <w:t xml:space="preserve">, and </w:t>
      </w:r>
      <w:r w:rsidRPr="00564B73">
        <w:t xml:space="preserve">integrating behavioral health into primary care is </w:t>
      </w:r>
      <w:r w:rsidR="00B817CC">
        <w:t>an efficient way</w:t>
      </w:r>
      <w:r w:rsidRPr="00564B73">
        <w:t xml:space="preserve"> to reach </w:t>
      </w:r>
      <w:r w:rsidR="00B817CC">
        <w:t xml:space="preserve">even </w:t>
      </w:r>
      <w:r w:rsidRPr="00122B8A">
        <w:t>more people (e.g., Leslie</w:t>
      </w:r>
      <w:r w:rsidRPr="004A55C9">
        <w:t xml:space="preserve"> et al., 2016; Robinson &amp; Hayes, 1997; Robinson, Wischman, &amp; Del Vento, 1996). </w:t>
      </w:r>
      <w:r w:rsidR="00B817CC">
        <w:t>To date, however,</w:t>
      </w:r>
      <w:r w:rsidR="00924E44" w:rsidRPr="00B04406">
        <w:t xml:space="preserve"> only a small percentage </w:t>
      </w:r>
      <w:r w:rsidRPr="00B04406">
        <w:t xml:space="preserve">of those who could benefit from these services are receiving </w:t>
      </w:r>
      <w:r w:rsidR="00A17AA3" w:rsidRPr="00B04406">
        <w:t>them</w:t>
      </w:r>
      <w:r w:rsidRPr="00B04406">
        <w:t xml:space="preserve"> (Glasgow, Lichtenstein, &amp; Marcus, 2003; Prinz &amp; Sanders</w:t>
      </w:r>
      <w:r w:rsidRPr="00564B73">
        <w:t>, 2007).</w:t>
      </w:r>
    </w:p>
    <w:p w14:paraId="009137FC" w14:textId="36305A0D" w:rsidR="005203C2" w:rsidRPr="00564B73" w:rsidRDefault="00E565CD" w:rsidP="005203C2">
      <w:pPr>
        <w:pStyle w:val="Heading3"/>
      </w:pPr>
      <w:r>
        <w:t xml:space="preserve">Facts </w:t>
      </w:r>
      <w:r w:rsidR="007279B2">
        <w:t xml:space="preserve">About </w:t>
      </w:r>
      <w:r w:rsidR="005203C2" w:rsidRPr="00564B73">
        <w:t>Education and Social-Emotional</w:t>
      </w:r>
      <w:r w:rsidR="00594A55">
        <w:t>-</w:t>
      </w:r>
      <w:r w:rsidR="005F43A7">
        <w:t xml:space="preserve">Behavioral </w:t>
      </w:r>
      <w:r w:rsidR="005203C2" w:rsidRPr="00564B73">
        <w:t>Development</w:t>
      </w:r>
    </w:p>
    <w:p w14:paraId="5E1D7E29" w14:textId="2738D6FB" w:rsidR="005203C2" w:rsidRPr="00564B73" w:rsidRDefault="005203C2" w:rsidP="00895D78">
      <w:pPr>
        <w:spacing w:after="120" w:line="240" w:lineRule="auto"/>
      </w:pPr>
      <w:r w:rsidRPr="00564B73">
        <w:t xml:space="preserve">The foundation </w:t>
      </w:r>
      <w:r w:rsidRPr="0059315F">
        <w:t xml:space="preserve">of </w:t>
      </w:r>
      <w:r w:rsidR="00BB1D20">
        <w:t xml:space="preserve">empirically supported educational technologies </w:t>
      </w:r>
      <w:r w:rsidRPr="00895D78">
        <w:t xml:space="preserve">is the notion </w:t>
      </w:r>
      <w:r w:rsidR="00A22F21" w:rsidRPr="00895D78">
        <w:t xml:space="preserve">that </w:t>
      </w:r>
      <w:r w:rsidRPr="00895D78">
        <w:t xml:space="preserve">creating and developing supportive environments make lives of quality and purpose possible. The emphasis is less on troubled people or problem behavior </w:t>
      </w:r>
      <w:r w:rsidR="00A17AA3" w:rsidRPr="00895D78">
        <w:t>and more</w:t>
      </w:r>
      <w:r w:rsidR="00670388" w:rsidRPr="00895D78">
        <w:t xml:space="preserve"> on </w:t>
      </w:r>
      <w:r w:rsidRPr="00895D78">
        <w:t>problem s</w:t>
      </w:r>
      <w:r w:rsidR="00FC70A5">
        <w:t>ettings (Carr &amp; Horner, 2007). S</w:t>
      </w:r>
      <w:r w:rsidRPr="00B04406">
        <w:t xml:space="preserve">chools need </w:t>
      </w:r>
      <w:r w:rsidR="00623993" w:rsidRPr="00B04406">
        <w:t xml:space="preserve">early </w:t>
      </w:r>
      <w:r w:rsidRPr="00B04406">
        <w:t>prevention</w:t>
      </w:r>
      <w:r w:rsidR="00670388" w:rsidRPr="00B04406">
        <w:t xml:space="preserve"> intervention</w:t>
      </w:r>
      <w:r w:rsidR="00623993" w:rsidRPr="00B04406">
        <w:t>s,</w:t>
      </w:r>
      <w:r w:rsidRPr="00B04406">
        <w:t xml:space="preserve"> </w:t>
      </w:r>
      <w:r w:rsidR="00BB1D20" w:rsidRPr="00B04406">
        <w:t xml:space="preserve">recognition of </w:t>
      </w:r>
      <w:r w:rsidRPr="00B04406">
        <w:t xml:space="preserve">which has led </w:t>
      </w:r>
      <w:r w:rsidRPr="00564B73">
        <w:t xml:space="preserve">to growing legislative pressure to provide safe schools that are </w:t>
      </w:r>
      <w:r w:rsidR="00BB1D20">
        <w:t xml:space="preserve">also </w:t>
      </w:r>
      <w:r w:rsidRPr="00564B73">
        <w:t xml:space="preserve">conducive to learning. Educators and families have major influence on children’s social and cognitive development. Establishing schools as systems of care may be our best </w:t>
      </w:r>
      <w:r w:rsidR="00EF4E48">
        <w:t>strategy for</w:t>
      </w:r>
      <w:r w:rsidRPr="00564B73">
        <w:t xml:space="preserve"> early intervention and prevention of problems </w:t>
      </w:r>
      <w:r w:rsidR="005F43A7">
        <w:t xml:space="preserve">in both </w:t>
      </w:r>
      <w:r w:rsidR="00670388">
        <w:t xml:space="preserve">the </w:t>
      </w:r>
      <w:r w:rsidR="005F43A7" w:rsidRPr="004A55C9">
        <w:t>short and long</w:t>
      </w:r>
      <w:r w:rsidR="00EF4E48">
        <w:t xml:space="preserve"> </w:t>
      </w:r>
      <w:r w:rsidR="005F43A7" w:rsidRPr="004A55C9">
        <w:t>term</w:t>
      </w:r>
      <w:r w:rsidRPr="004A55C9">
        <w:t>. Teaching social-emotional</w:t>
      </w:r>
      <w:r w:rsidR="00594A55" w:rsidRPr="004A55C9">
        <w:t>-behavioral skills directly in context</w:t>
      </w:r>
      <w:r w:rsidR="00623993" w:rsidRPr="00B04406">
        <w:t xml:space="preserve">s </w:t>
      </w:r>
      <w:r w:rsidR="00594A55" w:rsidRPr="00B04406">
        <w:t xml:space="preserve">that foster </w:t>
      </w:r>
      <w:r w:rsidRPr="00B04406">
        <w:t>respectful, supportive relations among students, educators, and families is essential</w:t>
      </w:r>
      <w:r w:rsidR="00EF4E48">
        <w:t>,</w:t>
      </w:r>
      <w:r w:rsidR="00EF4E48" w:rsidRPr="00B04406">
        <w:t xml:space="preserve"> </w:t>
      </w:r>
      <w:r w:rsidRPr="00B04406">
        <w:t xml:space="preserve">and </w:t>
      </w:r>
      <w:r w:rsidR="003061B7">
        <w:t xml:space="preserve">doing so </w:t>
      </w:r>
      <w:r w:rsidRPr="00B04406">
        <w:t>reinforces the impact of nurturing environments and overall well</w:t>
      </w:r>
      <w:r w:rsidR="00352D77" w:rsidRPr="00B04406">
        <w:t>-</w:t>
      </w:r>
      <w:r w:rsidRPr="00B04406">
        <w:t>being (Bradshaw, Koth, Bevans, Ialongo, &amp; Leaf, 2008; Bradshaw et al., 2012</w:t>
      </w:r>
      <w:r w:rsidRPr="00564B73">
        <w:t xml:space="preserve">). </w:t>
      </w:r>
    </w:p>
    <w:p w14:paraId="2C7DCCE7" w14:textId="69E924A0" w:rsidR="005203C2" w:rsidRPr="00564B73" w:rsidRDefault="00BB1D20" w:rsidP="005203C2">
      <w:pPr>
        <w:spacing w:after="120" w:line="240" w:lineRule="auto"/>
      </w:pPr>
      <w:r>
        <w:lastRenderedPageBreak/>
        <w:t>Positive Behavioral Interventions and Supports (PBIS</w:t>
      </w:r>
      <w:r w:rsidR="006F6240">
        <w:t xml:space="preserve">; </w:t>
      </w:r>
      <w:hyperlink r:id="rId8" w:history="1">
        <w:r w:rsidRPr="00325A95">
          <w:rPr>
            <w:rFonts w:eastAsia="Calibri" w:cs="Times New Roman"/>
            <w:color w:val="0000FF"/>
          </w:rPr>
          <w:t>www.pbis.org</w:t>
        </w:r>
      </w:hyperlink>
      <w:r>
        <w:t xml:space="preserve">) is a particularly strong example of such a systemic, data-based approach. </w:t>
      </w:r>
      <w:r w:rsidR="005203C2" w:rsidRPr="00564B73">
        <w:rPr>
          <w:rFonts w:cstheme="minorHAnsi"/>
        </w:rPr>
        <w:t>S</w:t>
      </w:r>
      <w:r w:rsidR="00594A55">
        <w:rPr>
          <w:rFonts w:cstheme="minorHAnsi"/>
        </w:rPr>
        <w:t>chool-</w:t>
      </w:r>
      <w:r w:rsidR="00EF4E48">
        <w:rPr>
          <w:rFonts w:cstheme="minorHAnsi"/>
        </w:rPr>
        <w:t xml:space="preserve">Wide </w:t>
      </w:r>
      <w:r w:rsidR="00594A55">
        <w:rPr>
          <w:rFonts w:cstheme="minorHAnsi"/>
        </w:rPr>
        <w:t>P</w:t>
      </w:r>
      <w:r w:rsidR="005203C2" w:rsidRPr="00564B73">
        <w:rPr>
          <w:rFonts w:cstheme="minorHAnsi"/>
        </w:rPr>
        <w:t xml:space="preserve">BIS </w:t>
      </w:r>
      <w:r>
        <w:rPr>
          <w:rFonts w:cstheme="minorHAnsi"/>
        </w:rPr>
        <w:t xml:space="preserve">(SWPBIS) </w:t>
      </w:r>
      <w:r w:rsidR="005203C2" w:rsidRPr="00564B73">
        <w:rPr>
          <w:rFonts w:cstheme="minorHAnsi"/>
        </w:rPr>
        <w:t xml:space="preserve">encompasses a set of </w:t>
      </w:r>
      <w:r w:rsidR="005203C2" w:rsidRPr="00564B73">
        <w:t>practices</w:t>
      </w:r>
      <w:r w:rsidR="005203C2" w:rsidRPr="00564B73">
        <w:rPr>
          <w:rFonts w:cstheme="minorHAnsi"/>
        </w:rPr>
        <w:t xml:space="preserve"> that combine information from social, behavioral, and biomedical science and applies </w:t>
      </w:r>
      <w:r w:rsidR="006F6240">
        <w:rPr>
          <w:rFonts w:cstheme="minorHAnsi"/>
        </w:rPr>
        <w:t>it to</w:t>
      </w:r>
      <w:r w:rsidR="00594A55">
        <w:rPr>
          <w:rFonts w:cstheme="minorHAnsi"/>
        </w:rPr>
        <w:t xml:space="preserve"> systems, targeted</w:t>
      </w:r>
      <w:r w:rsidR="006F6240">
        <w:rPr>
          <w:rFonts w:cstheme="minorHAnsi"/>
        </w:rPr>
        <w:t xml:space="preserve"> </w:t>
      </w:r>
      <w:r w:rsidR="00594A55">
        <w:rPr>
          <w:rFonts w:cstheme="minorHAnsi"/>
        </w:rPr>
        <w:t>group</w:t>
      </w:r>
      <w:r w:rsidR="006F6240">
        <w:rPr>
          <w:rFonts w:cstheme="minorHAnsi"/>
        </w:rPr>
        <w:t>s,</w:t>
      </w:r>
      <w:r w:rsidR="00594A55">
        <w:rPr>
          <w:rFonts w:cstheme="minorHAnsi"/>
        </w:rPr>
        <w:t xml:space="preserve"> and individuals</w:t>
      </w:r>
      <w:r w:rsidR="005203C2" w:rsidRPr="00564B73">
        <w:rPr>
          <w:rFonts w:cstheme="minorHAnsi"/>
        </w:rPr>
        <w:t xml:space="preserve">. </w:t>
      </w:r>
      <w:r w:rsidR="005203C2" w:rsidRPr="00564B73">
        <w:t xml:space="preserve">Universal prevention efforts that support positive academic and social behavior through comprehensive systems such as SWPBIS (which address the whole child) are </w:t>
      </w:r>
      <w:r w:rsidR="00B40A4A">
        <w:t xml:space="preserve">more </w:t>
      </w:r>
      <w:r w:rsidR="005203C2" w:rsidRPr="00564B73">
        <w:t>effective and less costly than reactionary interventions (e.g., retention, referrals to special education, placement in alternative schools, dropout, juvenile justice, etc.)</w:t>
      </w:r>
      <w:r w:rsidR="004572F1">
        <w:t>.</w:t>
      </w:r>
      <w:r w:rsidR="005203C2" w:rsidRPr="00564B73">
        <w:t xml:space="preserve"> </w:t>
      </w:r>
      <w:r w:rsidR="004572F1">
        <w:t>They</w:t>
      </w:r>
      <w:r w:rsidR="005203C2" w:rsidRPr="00564B73">
        <w:t xml:space="preserve"> have </w:t>
      </w:r>
      <w:r w:rsidR="00B40A4A">
        <w:t xml:space="preserve">the added bonus of </w:t>
      </w:r>
      <w:r w:rsidR="005203C2" w:rsidRPr="00564B73">
        <w:t>demonstr</w:t>
      </w:r>
      <w:r w:rsidR="00623993">
        <w:t>ably</w:t>
      </w:r>
      <w:r w:rsidR="005203C2" w:rsidRPr="00564B73">
        <w:t xml:space="preserve"> improv</w:t>
      </w:r>
      <w:r w:rsidR="00B40A4A">
        <w:t xml:space="preserve">ing the health of </w:t>
      </w:r>
      <w:r w:rsidR="002D1C2A">
        <w:t xml:space="preserve">the </w:t>
      </w:r>
      <w:r w:rsidR="002D1C2A" w:rsidRPr="00564B73">
        <w:t>organizations</w:t>
      </w:r>
      <w:r w:rsidR="00B40A4A">
        <w:t xml:space="preserve"> that implement them</w:t>
      </w:r>
      <w:r w:rsidR="005203C2" w:rsidRPr="00564B73">
        <w:t xml:space="preserve"> (Bradshaw et al., 2008; Bradshaw, Mitchell, &amp; Leaf, 2010).</w:t>
      </w:r>
    </w:p>
    <w:p w14:paraId="712A8F55" w14:textId="7E864EEB" w:rsidR="005203C2" w:rsidRPr="00B04406" w:rsidRDefault="005203C2" w:rsidP="005203C2">
      <w:pPr>
        <w:spacing w:after="120" w:line="240" w:lineRule="auto"/>
      </w:pPr>
      <w:r w:rsidRPr="00564B73">
        <w:t xml:space="preserve">Developing </w:t>
      </w:r>
      <w:r w:rsidR="00670388">
        <w:t xml:space="preserve">resiliency by expanding protective factors such as </w:t>
      </w:r>
      <w:r w:rsidRPr="00564B73">
        <w:t xml:space="preserve">social and self-regulatory skills is vital to the academic success of children and to </w:t>
      </w:r>
      <w:r w:rsidR="00FC70A5">
        <w:t>societies’</w:t>
      </w:r>
      <w:r w:rsidRPr="00564B73">
        <w:t xml:space="preserve"> future well</w:t>
      </w:r>
      <w:r w:rsidR="00352D77">
        <w:t>-</w:t>
      </w:r>
      <w:r w:rsidRPr="00564B73">
        <w:t xml:space="preserve">being. </w:t>
      </w:r>
      <w:r w:rsidR="005F43A7">
        <w:t>The infusion of trauma</w:t>
      </w:r>
      <w:r w:rsidR="00623993">
        <w:t>-</w:t>
      </w:r>
      <w:r w:rsidR="005F43A7">
        <w:t>informed, school-based behavioral health practices further enhances implementatio</w:t>
      </w:r>
      <w:r w:rsidR="00C061F9">
        <w:t>n</w:t>
      </w:r>
      <w:r w:rsidR="005F43A7">
        <w:t xml:space="preserve"> of the PBIS framework. </w:t>
      </w:r>
      <w:r w:rsidRPr="00564B73">
        <w:t xml:space="preserve">A recent meta-analysis </w:t>
      </w:r>
      <w:r w:rsidR="00651588">
        <w:t>of</w:t>
      </w:r>
      <w:r w:rsidR="00651588" w:rsidRPr="00564B73">
        <w:t xml:space="preserve"> </w:t>
      </w:r>
      <w:r w:rsidRPr="00564B73">
        <w:t xml:space="preserve">the results of 82 school programs that support children’s development of social and emotional skills found </w:t>
      </w:r>
      <w:r w:rsidR="00612791">
        <w:t xml:space="preserve">that </w:t>
      </w:r>
      <w:r w:rsidRPr="00564B73">
        <w:t>the</w:t>
      </w:r>
      <w:r w:rsidR="00612791">
        <w:t>se</w:t>
      </w:r>
      <w:r w:rsidRPr="00564B73">
        <w:t xml:space="preserve"> programs had increased academic </w:t>
      </w:r>
      <w:r w:rsidRPr="004A55C9">
        <w:t>success as much as three and</w:t>
      </w:r>
      <w:r w:rsidR="00670388" w:rsidRPr="004A55C9">
        <w:t xml:space="preserve"> half years </w:t>
      </w:r>
      <w:r w:rsidR="00612791">
        <w:t xml:space="preserve">later, as well as </w:t>
      </w:r>
      <w:r w:rsidR="00670388" w:rsidRPr="004A55C9">
        <w:t>help</w:t>
      </w:r>
      <w:r w:rsidR="00612791">
        <w:t>ed</w:t>
      </w:r>
      <w:r w:rsidR="00670388" w:rsidRPr="004A55C9">
        <w:t xml:space="preserve"> </w:t>
      </w:r>
      <w:r w:rsidRPr="00B04406">
        <w:t xml:space="preserve">prevent conduct problems, substance use, and emotional difficulties (Taylor, Oberle, Durlak, &amp; Weissberg, 2017). </w:t>
      </w:r>
    </w:p>
    <w:p w14:paraId="08C9B2C8" w14:textId="4D5676D5" w:rsidR="005203C2" w:rsidRPr="00564B73" w:rsidRDefault="00612791" w:rsidP="005203C2">
      <w:pPr>
        <w:spacing w:after="120" w:line="240" w:lineRule="auto"/>
      </w:pPr>
      <w:r>
        <w:t>M</w:t>
      </w:r>
      <w:r w:rsidR="00C061F9" w:rsidRPr="00B04406">
        <w:t xml:space="preserve">ulti-tiered </w:t>
      </w:r>
      <w:r w:rsidR="00670388" w:rsidRPr="00B04406">
        <w:t>framework</w:t>
      </w:r>
      <w:r w:rsidR="00C061F9" w:rsidRPr="00B04406">
        <w:t>s</w:t>
      </w:r>
      <w:r w:rsidR="005203C2" w:rsidRPr="00B04406">
        <w:t xml:space="preserve"> are beginning to be widely</w:t>
      </w:r>
      <w:r w:rsidR="00C061F9" w:rsidRPr="00B04406">
        <w:t xml:space="preserve"> promoted</w:t>
      </w:r>
      <w:r w:rsidR="00623993" w:rsidRPr="00B04406">
        <w:t>,</w:t>
      </w:r>
      <w:r w:rsidR="00C061F9" w:rsidRPr="00B04406">
        <w:t xml:space="preserve"> and </w:t>
      </w:r>
      <w:r>
        <w:rPr>
          <w:rFonts w:cstheme="minorHAnsi"/>
        </w:rPr>
        <w:t>SWPBIS</w:t>
      </w:r>
      <w:r w:rsidRPr="00B04406" w:rsidDel="00612791">
        <w:t xml:space="preserve"> </w:t>
      </w:r>
      <w:r w:rsidR="005203C2" w:rsidRPr="00B04406">
        <w:t>is</w:t>
      </w:r>
      <w:r w:rsidR="00670388" w:rsidRPr="00B04406">
        <w:t xml:space="preserve"> </w:t>
      </w:r>
      <w:r w:rsidR="00C64501">
        <w:t>now in place</w:t>
      </w:r>
      <w:r w:rsidR="00670388" w:rsidRPr="00B04406">
        <w:t xml:space="preserve"> </w:t>
      </w:r>
      <w:r w:rsidR="005203C2" w:rsidRPr="00B04406">
        <w:t xml:space="preserve">in almost 26,000 </w:t>
      </w:r>
      <w:r w:rsidR="00C64501">
        <w:t>schools</w:t>
      </w:r>
      <w:r w:rsidRPr="00612791">
        <w:t xml:space="preserve"> </w:t>
      </w:r>
      <w:r>
        <w:t>in the United States</w:t>
      </w:r>
      <w:r w:rsidR="004572F1">
        <w:t>,</w:t>
      </w:r>
      <w:r w:rsidR="00C64501">
        <w:t xml:space="preserve"> </w:t>
      </w:r>
      <w:r w:rsidR="00AA1EA2">
        <w:t xml:space="preserve">roughly </w:t>
      </w:r>
      <w:r w:rsidR="005203C2" w:rsidRPr="00B04406">
        <w:t>25% (U.S. Department of Education, Office of Special Education, 2017). Murphy</w:t>
      </w:r>
      <w:r w:rsidR="006B3608">
        <w:t xml:space="preserve">, Abel, Hoover, Jellinek, and Fazel </w:t>
      </w:r>
      <w:r w:rsidR="004572F1">
        <w:t>(</w:t>
      </w:r>
      <w:r w:rsidR="005203C2" w:rsidRPr="00B04406">
        <w:t>2017</w:t>
      </w:r>
      <w:r w:rsidR="004572F1">
        <w:t>)</w:t>
      </w:r>
      <w:r w:rsidR="005203C2" w:rsidRPr="00B04406">
        <w:t xml:space="preserve"> estimate that </w:t>
      </w:r>
      <w:r w:rsidR="00B0145E">
        <w:t xml:space="preserve">PBIS has reached </w:t>
      </w:r>
      <w:r w:rsidR="005203C2" w:rsidRPr="00B04406">
        <w:t xml:space="preserve">as many as 16 </w:t>
      </w:r>
      <w:r w:rsidR="005203C2" w:rsidRPr="00564B73">
        <w:t>million students. This represents real progress</w:t>
      </w:r>
      <w:r w:rsidR="00880AAE">
        <w:t xml:space="preserve"> in ter</w:t>
      </w:r>
      <w:r w:rsidR="00C061F9">
        <w:t>ms of scal</w:t>
      </w:r>
      <w:r w:rsidR="00623993">
        <w:t>e</w:t>
      </w:r>
      <w:r w:rsidR="00C061F9">
        <w:t xml:space="preserve"> </w:t>
      </w:r>
      <w:r w:rsidR="00880AAE">
        <w:t>and impact</w:t>
      </w:r>
      <w:r w:rsidR="005203C2" w:rsidRPr="00564B73">
        <w:t xml:space="preserve">. However, consider </w:t>
      </w:r>
      <w:r>
        <w:t xml:space="preserve">that </w:t>
      </w:r>
      <w:r w:rsidR="005203C2" w:rsidRPr="00564B73">
        <w:t>there are ab</w:t>
      </w:r>
      <w:r w:rsidR="00C061F9">
        <w:t xml:space="preserve">out 50 million </w:t>
      </w:r>
      <w:r w:rsidR="00FC70A5">
        <w:t>K-12</w:t>
      </w:r>
      <w:r w:rsidR="00C061F9">
        <w:t xml:space="preserve"> </w:t>
      </w:r>
      <w:r w:rsidR="005203C2" w:rsidRPr="00564B73">
        <w:t>in the U</w:t>
      </w:r>
      <w:r w:rsidR="00C061F9">
        <w:t xml:space="preserve">nited States. </w:t>
      </w:r>
      <w:r w:rsidR="00CD54D9">
        <w:t>In essence, PBIS</w:t>
      </w:r>
      <w:r w:rsidR="005203C2" w:rsidRPr="00564B73">
        <w:t xml:space="preserve"> function</w:t>
      </w:r>
      <w:r w:rsidR="00CD54D9">
        <w:t>s</w:t>
      </w:r>
      <w:r w:rsidR="005203C2" w:rsidRPr="00564B73">
        <w:t xml:space="preserve"> as a vaccine for preventing multiple problems. </w:t>
      </w:r>
      <w:r w:rsidR="00B0145E">
        <w:t>Thus</w:t>
      </w:r>
      <w:r w:rsidR="00880AAE">
        <w:t xml:space="preserve">, </w:t>
      </w:r>
      <w:r w:rsidR="00CD54D9">
        <w:t xml:space="preserve">only </w:t>
      </w:r>
      <w:r w:rsidR="00880AAE">
        <w:t xml:space="preserve">1 of every 3 children </w:t>
      </w:r>
      <w:r>
        <w:t xml:space="preserve">(32%) </w:t>
      </w:r>
      <w:r w:rsidR="00B0145E">
        <w:t>has</w:t>
      </w:r>
      <w:r w:rsidR="00880AAE">
        <w:t xml:space="preserve"> benefited from this </w:t>
      </w:r>
      <w:r w:rsidR="00476870">
        <w:t>effective</w:t>
      </w:r>
      <w:r w:rsidR="00880AAE">
        <w:t xml:space="preserve"> vaccine. </w:t>
      </w:r>
    </w:p>
    <w:p w14:paraId="3CDC62B8" w14:textId="6504011A" w:rsidR="005203C2" w:rsidRPr="00564B73" w:rsidRDefault="00E565CD" w:rsidP="005203C2">
      <w:pPr>
        <w:pStyle w:val="Heading3"/>
      </w:pPr>
      <w:r>
        <w:t xml:space="preserve">Facts </w:t>
      </w:r>
      <w:r w:rsidR="0072104B">
        <w:t xml:space="preserve">About </w:t>
      </w:r>
      <w:r w:rsidR="005203C2" w:rsidRPr="00564B73">
        <w:t xml:space="preserve">Effective </w:t>
      </w:r>
      <w:r w:rsidR="00CD54D9">
        <w:t xml:space="preserve">Academic </w:t>
      </w:r>
      <w:r w:rsidR="005203C2" w:rsidRPr="00564B73">
        <w:t>Instruction</w:t>
      </w:r>
    </w:p>
    <w:p w14:paraId="6DC4124B" w14:textId="4548D2D9" w:rsidR="005203C2" w:rsidRPr="00564B73" w:rsidRDefault="005203C2" w:rsidP="005203C2">
      <w:pPr>
        <w:spacing w:after="120" w:line="240" w:lineRule="auto"/>
      </w:pPr>
      <w:r w:rsidRPr="00564B73">
        <w:t>Education research over the past 50 years</w:t>
      </w:r>
      <w:r w:rsidR="00C061F9">
        <w:t xml:space="preserve"> has identified a great </w:t>
      </w:r>
      <w:r w:rsidRPr="00564B73">
        <w:t>number of effective</w:t>
      </w:r>
      <w:r w:rsidR="00476870">
        <w:t xml:space="preserve"> teaching methods</w:t>
      </w:r>
      <w:r w:rsidRPr="00564B73">
        <w:t>.</w:t>
      </w:r>
      <w:r w:rsidR="00612791">
        <w:t xml:space="preserve"> M</w:t>
      </w:r>
      <w:r w:rsidRPr="004A55C9">
        <w:t>eta-analyses show that increasing phonemic awareness co</w:t>
      </w:r>
      <w:r w:rsidRPr="00B04406">
        <w:t>ntributes to children</w:t>
      </w:r>
      <w:r w:rsidR="00612791">
        <w:t>’s</w:t>
      </w:r>
      <w:r w:rsidRPr="00B04406">
        <w:t xml:space="preserve"> learning to read (Ehri et al., 2001) and that phonics instruction is effective in improving reading skill</w:t>
      </w:r>
      <w:r w:rsidR="00612791">
        <w:t>s</w:t>
      </w:r>
      <w:r w:rsidRPr="00B04406">
        <w:t xml:space="preserve"> (Ehri, Nunes, Stahl, &amp; Willows, 2001). </w:t>
      </w:r>
      <w:r w:rsidR="00612791">
        <w:t xml:space="preserve">There is </w:t>
      </w:r>
      <w:r w:rsidR="00612791" w:rsidRPr="00B04406">
        <w:t xml:space="preserve">also </w:t>
      </w:r>
      <w:r w:rsidR="00612791">
        <w:t>good</w:t>
      </w:r>
      <w:r w:rsidR="00612791" w:rsidRPr="00B04406">
        <w:t xml:space="preserve"> evidence of </w:t>
      </w:r>
      <w:r w:rsidR="00612791">
        <w:t>the</w:t>
      </w:r>
      <w:r w:rsidR="00612791" w:rsidRPr="00B04406">
        <w:t xml:space="preserve"> value </w:t>
      </w:r>
      <w:r w:rsidR="00612791">
        <w:t>of j</w:t>
      </w:r>
      <w:r w:rsidRPr="00B04406">
        <w:t xml:space="preserve">oint book reading, in which parents read </w:t>
      </w:r>
      <w:r w:rsidR="00880AAE" w:rsidRPr="00B04406">
        <w:t xml:space="preserve">to their preschool children </w:t>
      </w:r>
      <w:r w:rsidRPr="00B04406">
        <w:t>(Bus, va</w:t>
      </w:r>
      <w:r w:rsidRPr="00564B73">
        <w:t>n IJzendoorn, &amp; Pellegrini, 1995).</w:t>
      </w:r>
    </w:p>
    <w:p w14:paraId="15FEC534" w14:textId="17311B18" w:rsidR="005203C2" w:rsidRPr="00B04406" w:rsidRDefault="00A80486" w:rsidP="005203C2">
      <w:pPr>
        <w:spacing w:after="120" w:line="240" w:lineRule="auto"/>
      </w:pPr>
      <w:r>
        <w:t>S</w:t>
      </w:r>
      <w:r w:rsidR="005203C2" w:rsidRPr="004A55C9">
        <w:t xml:space="preserve">tudies have </w:t>
      </w:r>
      <w:r>
        <w:t xml:space="preserve">also </w:t>
      </w:r>
      <w:r w:rsidR="005203C2" w:rsidRPr="004A55C9">
        <w:t>shown peer</w:t>
      </w:r>
      <w:r w:rsidR="00476870">
        <w:t>-</w:t>
      </w:r>
      <w:r w:rsidR="005203C2" w:rsidRPr="004A55C9">
        <w:t>to</w:t>
      </w:r>
      <w:r w:rsidR="00476870">
        <w:t>-</w:t>
      </w:r>
      <w:r w:rsidR="005203C2" w:rsidRPr="004A55C9">
        <w:t>peer tutoring to increase student performance across a range of subjects (</w:t>
      </w:r>
      <w:r w:rsidR="005203C2" w:rsidRPr="00B04406">
        <w:t xml:space="preserve">Greenwood, Delquadri, &amp; Hall, 1989). Cooperative learning </w:t>
      </w:r>
      <w:r w:rsidR="00880AAE" w:rsidRPr="00B04406">
        <w:t xml:space="preserve">procedures </w:t>
      </w:r>
      <w:r w:rsidR="00B0145E">
        <w:t>have noticeably improved</w:t>
      </w:r>
      <w:r w:rsidR="005203C2" w:rsidRPr="00B04406">
        <w:t xml:space="preserve"> the academic performance o</w:t>
      </w:r>
      <w:r w:rsidR="00880AAE" w:rsidRPr="00B04406">
        <w:t>f less skilled students</w:t>
      </w:r>
      <w:r w:rsidR="005203C2" w:rsidRPr="00B04406">
        <w:t xml:space="preserve"> while not diminishing the success of more advanced </w:t>
      </w:r>
      <w:r w:rsidR="00476870">
        <w:t>students</w:t>
      </w:r>
      <w:r w:rsidR="005203C2" w:rsidRPr="00B04406">
        <w:t xml:space="preserve"> (Johnson &amp; Johnson, 1987). Cooperative learning </w:t>
      </w:r>
      <w:r w:rsidR="00B0145E">
        <w:t>is</w:t>
      </w:r>
      <w:r w:rsidR="005203C2" w:rsidRPr="00B04406">
        <w:t xml:space="preserve"> one of the most effective way</w:t>
      </w:r>
      <w:r w:rsidR="00B0145E">
        <w:t>s to reduce prejudice and inter</w:t>
      </w:r>
      <w:r w:rsidR="005203C2" w:rsidRPr="00B04406">
        <w:t xml:space="preserve">group conflict in schools (Paluck &amp; Green, 2009). </w:t>
      </w:r>
    </w:p>
    <w:p w14:paraId="69E01C67" w14:textId="7185496A" w:rsidR="005203C2" w:rsidRPr="00B04406" w:rsidRDefault="00476870" w:rsidP="005203C2">
      <w:pPr>
        <w:spacing w:after="120" w:line="240" w:lineRule="auto"/>
      </w:pPr>
      <w:r>
        <w:t xml:space="preserve">Despite </w:t>
      </w:r>
      <w:r w:rsidR="00A80486">
        <w:t>these data</w:t>
      </w:r>
      <w:r>
        <w:t>, a</w:t>
      </w:r>
      <w:r w:rsidR="00880AAE">
        <w:t xml:space="preserve">s with most other areas of evidence-based approaches, </w:t>
      </w:r>
      <w:r w:rsidR="005203C2" w:rsidRPr="00564B73">
        <w:t xml:space="preserve">effective instructional techniques </w:t>
      </w:r>
      <w:r w:rsidR="00326D09">
        <w:t>have not translated readily into typical daily practice</w:t>
      </w:r>
      <w:r w:rsidR="005203C2" w:rsidRPr="00564B73">
        <w:t xml:space="preserve">. </w:t>
      </w:r>
      <w:r w:rsidR="00454AB6">
        <w:t>T</w:t>
      </w:r>
      <w:r w:rsidR="005203C2" w:rsidRPr="00564B73">
        <w:t>he behavioral sciences have a long history of contribu</w:t>
      </w:r>
      <w:r>
        <w:t>ting</w:t>
      </w:r>
      <w:r w:rsidR="005203C2" w:rsidRPr="00564B73">
        <w:t xml:space="preserve"> to</w:t>
      </w:r>
      <w:r>
        <w:t xml:space="preserve"> the</w:t>
      </w:r>
      <w:r w:rsidR="00880AAE">
        <w:t xml:space="preserve"> validati</w:t>
      </w:r>
      <w:r>
        <w:t>on of</w:t>
      </w:r>
      <w:r w:rsidR="00880AAE">
        <w:t xml:space="preserve"> effective educational practice</w:t>
      </w:r>
      <w:r w:rsidR="005203C2" w:rsidRPr="00564B73">
        <w:t xml:space="preserve">. </w:t>
      </w:r>
      <w:r w:rsidR="00A80486">
        <w:t>T</w:t>
      </w:r>
      <w:r w:rsidR="005203C2" w:rsidRPr="004A55C9">
        <w:t>he influence of behavior analytic principles</w:t>
      </w:r>
      <w:r w:rsidR="00A80486">
        <w:t xml:space="preserve"> is apparent</w:t>
      </w:r>
      <w:r w:rsidR="005203C2" w:rsidRPr="004A55C9">
        <w:t xml:space="preserve"> in curriculum design through direct instruction (</w:t>
      </w:r>
      <w:r w:rsidR="005203C2" w:rsidRPr="00B04406">
        <w:t>Englemann &amp; Carnine, 2016) and explicit instruction (Archer &amp; Hu</w:t>
      </w:r>
      <w:r w:rsidR="00880AAE" w:rsidRPr="00B04406">
        <w:t xml:space="preserve">ghes, 2010). Recently, </w:t>
      </w:r>
      <w:r w:rsidR="005203C2" w:rsidRPr="00B04406">
        <w:t>a greater emphasis on a multi</w:t>
      </w:r>
      <w:r w:rsidR="00A80486">
        <w:t>-</w:t>
      </w:r>
      <w:r w:rsidR="005203C2" w:rsidRPr="00B04406">
        <w:t xml:space="preserve">tiered approach to education integrates academic and behavior supports to improve educational outcomes (McIntosh &amp; Goodman, 2016). </w:t>
      </w:r>
      <w:r>
        <w:t>Results show that a</w:t>
      </w:r>
      <w:r w:rsidR="005203C2" w:rsidRPr="00B04406">
        <w:t xml:space="preserve">n integrated approach produces better outcomes than reading </w:t>
      </w:r>
      <w:r w:rsidR="00326D09" w:rsidRPr="00B04406">
        <w:t xml:space="preserve">strategies </w:t>
      </w:r>
      <w:r w:rsidR="005203C2" w:rsidRPr="00B04406">
        <w:t xml:space="preserve">alone (Stewart, Benner, Martella, &amp; Marchand-Martella, 2007). </w:t>
      </w:r>
      <w:r>
        <w:t>In addition, e</w:t>
      </w:r>
      <w:r w:rsidR="005203C2" w:rsidRPr="00B04406">
        <w:t xml:space="preserve">ffective behavior support </w:t>
      </w:r>
      <w:r w:rsidR="00246B9D">
        <w:t>increases</w:t>
      </w:r>
      <w:r w:rsidR="005203C2" w:rsidRPr="00B04406">
        <w:t xml:space="preserve"> time for instruction that </w:t>
      </w:r>
      <w:r w:rsidR="00326D09" w:rsidRPr="00B04406">
        <w:t>may have been</w:t>
      </w:r>
      <w:r w:rsidR="005203C2" w:rsidRPr="00B04406">
        <w:t xml:space="preserve"> </w:t>
      </w:r>
      <w:r w:rsidR="00246B9D">
        <w:t>lost due</w:t>
      </w:r>
      <w:r w:rsidR="005203C2" w:rsidRPr="00B04406">
        <w:t xml:space="preserve"> to problem behavior (Algozzine &amp; Algozzine, 2007). </w:t>
      </w:r>
    </w:p>
    <w:p w14:paraId="55AE8451" w14:textId="7B0CBE1E" w:rsidR="005203C2" w:rsidRPr="00564B73" w:rsidRDefault="005203C2" w:rsidP="005203C2">
      <w:pPr>
        <w:spacing w:after="120" w:line="240" w:lineRule="auto"/>
      </w:pPr>
      <w:r w:rsidRPr="00564B73">
        <w:t xml:space="preserve">Another </w:t>
      </w:r>
      <w:r w:rsidR="00880AAE">
        <w:t xml:space="preserve">contemporary </w:t>
      </w:r>
      <w:r w:rsidRPr="00564B73">
        <w:t>contribution of behavioral sciences is the development of systems to support the implementation of effective practices (</w:t>
      </w:r>
      <w:r w:rsidR="00FC6852">
        <w:t>Brownson, Colditz</w:t>
      </w:r>
      <w:r w:rsidR="003061B7">
        <w:t>,</w:t>
      </w:r>
      <w:r w:rsidR="00FC6852">
        <w:t xml:space="preserve"> &amp; Proctor, 2018</w:t>
      </w:r>
      <w:r w:rsidR="00880AAE">
        <w:t>). Thr</w:t>
      </w:r>
      <w:r w:rsidR="00B27422">
        <w:t xml:space="preserve">ough </w:t>
      </w:r>
      <w:r w:rsidR="00B27422">
        <w:lastRenderedPageBreak/>
        <w:t>application of implementation</w:t>
      </w:r>
      <w:r w:rsidR="00880AAE">
        <w:t xml:space="preserve"> science</w:t>
      </w:r>
      <w:r w:rsidRPr="00564B73">
        <w:t xml:space="preserve">, educational systems </w:t>
      </w:r>
      <w:r w:rsidR="00B27422">
        <w:t xml:space="preserve">can best </w:t>
      </w:r>
      <w:r w:rsidRPr="00564B73">
        <w:t xml:space="preserve">ensure that educators have the competency to implement practices with fidelity and </w:t>
      </w:r>
      <w:r w:rsidR="00B0145E">
        <w:t>to sustain and scale</w:t>
      </w:r>
      <w:r w:rsidR="00246B9D">
        <w:t xml:space="preserve"> </w:t>
      </w:r>
      <w:r w:rsidRPr="00564B73">
        <w:t xml:space="preserve">implementation across districts and </w:t>
      </w:r>
      <w:r w:rsidR="00FC70A5">
        <w:t>regions</w:t>
      </w:r>
      <w:r w:rsidRPr="00564B73">
        <w:t>.</w:t>
      </w:r>
    </w:p>
    <w:p w14:paraId="2316FCA8" w14:textId="215E5B6D" w:rsidR="005203C2" w:rsidRPr="00564B73" w:rsidRDefault="00E565CD" w:rsidP="005203C2">
      <w:pPr>
        <w:pStyle w:val="Heading3"/>
      </w:pPr>
      <w:r>
        <w:t xml:space="preserve">Facts </w:t>
      </w:r>
      <w:r w:rsidR="0072104B">
        <w:t xml:space="preserve">About </w:t>
      </w:r>
      <w:r w:rsidR="00326D09">
        <w:t xml:space="preserve">Community </w:t>
      </w:r>
      <w:r w:rsidR="005203C2" w:rsidRPr="00564B73">
        <w:t>Health Promotion</w:t>
      </w:r>
    </w:p>
    <w:p w14:paraId="43E77BB8" w14:textId="3196F13A" w:rsidR="005203C2" w:rsidRPr="00B04406" w:rsidRDefault="005203C2" w:rsidP="005203C2">
      <w:pPr>
        <w:spacing w:after="120" w:line="240" w:lineRule="auto"/>
      </w:pPr>
      <w:r w:rsidRPr="00564B73">
        <w:t xml:space="preserve">The United States </w:t>
      </w:r>
      <w:r w:rsidR="00246B9D" w:rsidRPr="00564B73">
        <w:t xml:space="preserve">has the highest per capita </w:t>
      </w:r>
      <w:r w:rsidR="00DC438E" w:rsidRPr="00564B73">
        <w:t xml:space="preserve">healthcare </w:t>
      </w:r>
      <w:r w:rsidR="00246B9D" w:rsidRPr="00564B73">
        <w:t>cost</w:t>
      </w:r>
      <w:r w:rsidR="004C4FF7">
        <w:t xml:space="preserve">s </w:t>
      </w:r>
      <w:r w:rsidR="00246B9D" w:rsidRPr="00564B73">
        <w:t>of any developed country</w:t>
      </w:r>
      <w:r w:rsidR="00246B9D">
        <w:t>,</w:t>
      </w:r>
      <w:r w:rsidR="00246B9D" w:rsidRPr="00564B73">
        <w:t xml:space="preserve"> </w:t>
      </w:r>
      <w:r w:rsidR="00246B9D">
        <w:t xml:space="preserve">yet </w:t>
      </w:r>
      <w:r w:rsidRPr="00564B73">
        <w:t>lower life expectancy than 25</w:t>
      </w:r>
      <w:r w:rsidR="00880AAE">
        <w:t xml:space="preserve"> other</w:t>
      </w:r>
      <w:r w:rsidRPr="00564B73">
        <w:t xml:space="preserve"> developed countries</w:t>
      </w:r>
      <w:r w:rsidR="00246B9D">
        <w:t>.</w:t>
      </w:r>
      <w:r w:rsidRPr="00564B73">
        <w:t xml:space="preserve"> Estimates are that 95% of the money Americans spend on healthcare </w:t>
      </w:r>
      <w:r w:rsidR="00A80486">
        <w:t>i</w:t>
      </w:r>
      <w:r w:rsidR="00A80486" w:rsidRPr="00564B73">
        <w:t xml:space="preserve">s </w:t>
      </w:r>
      <w:r w:rsidRPr="00564B73">
        <w:t>for the treatment of chronic diseases (</w:t>
      </w:r>
      <w:r w:rsidRPr="00B53B58">
        <w:t>McGinnis</w:t>
      </w:r>
      <w:r w:rsidRPr="00564B73">
        <w:t xml:space="preserve">, </w:t>
      </w:r>
      <w:r w:rsidR="008C7483" w:rsidRPr="00564B73">
        <w:t>Williams</w:t>
      </w:r>
      <w:r w:rsidRPr="00564B73">
        <w:t>-Russo, &amp; Knickman, 2002</w:t>
      </w:r>
      <w:r w:rsidR="00326D09">
        <w:t>)</w:t>
      </w:r>
      <w:r w:rsidR="004C4FF7">
        <w:t>,</w:t>
      </w:r>
      <w:r w:rsidR="00B0145E">
        <w:t xml:space="preserve"> m</w:t>
      </w:r>
      <w:r w:rsidRPr="00564B73">
        <w:t xml:space="preserve">ost of </w:t>
      </w:r>
      <w:r w:rsidR="004C4FF7">
        <w:t xml:space="preserve">which </w:t>
      </w:r>
      <w:r w:rsidRPr="00564B73">
        <w:t xml:space="preserve">are preventable. Many of the </w:t>
      </w:r>
      <w:r w:rsidR="00B0145E">
        <w:t xml:space="preserve">behaviorally </w:t>
      </w:r>
      <w:r w:rsidR="00880AAE">
        <w:t xml:space="preserve">based approaches described </w:t>
      </w:r>
      <w:r w:rsidR="00B0145E">
        <w:t xml:space="preserve">previously </w:t>
      </w:r>
      <w:r w:rsidRPr="00564B73">
        <w:t xml:space="preserve">can contribute to preventing </w:t>
      </w:r>
      <w:r w:rsidR="00326D09">
        <w:t xml:space="preserve">adverse childhood experiences that lead to </w:t>
      </w:r>
      <w:r w:rsidR="00880AAE">
        <w:t xml:space="preserve">chronic illness </w:t>
      </w:r>
      <w:r w:rsidR="00246B9D">
        <w:t>by</w:t>
      </w:r>
      <w:r w:rsidRPr="00564B73">
        <w:t xml:space="preserve"> </w:t>
      </w:r>
      <w:r w:rsidR="00563961">
        <w:t>helping people avoid</w:t>
      </w:r>
      <w:r w:rsidRPr="00564B73">
        <w:t xml:space="preserve"> health</w:t>
      </w:r>
      <w:r w:rsidR="00563961">
        <w:t>-</w:t>
      </w:r>
      <w:r w:rsidRPr="004A55C9">
        <w:t>compromising behaviors</w:t>
      </w:r>
      <w:r w:rsidR="00EE78E9">
        <w:t xml:space="preserve"> </w:t>
      </w:r>
      <w:r w:rsidRPr="004A55C9">
        <w:t>such as cigarette smoking, substance abuse, and antisocial behavior</w:t>
      </w:r>
      <w:r w:rsidR="004F19A1">
        <w:t>,</w:t>
      </w:r>
      <w:r w:rsidRPr="004A55C9">
        <w:t xml:space="preserve"> </w:t>
      </w:r>
      <w:r w:rsidR="00880AAE" w:rsidRPr="00B04406">
        <w:t>in tandem with building protectiv</w:t>
      </w:r>
      <w:r w:rsidR="00326D09" w:rsidRPr="00B04406">
        <w:t xml:space="preserve">e factors such as problem-solving skills </w:t>
      </w:r>
      <w:r w:rsidRPr="00B04406">
        <w:t>(Biglan, 2015).</w:t>
      </w:r>
    </w:p>
    <w:p w14:paraId="22820EA6" w14:textId="58FC1660" w:rsidR="005203C2" w:rsidRPr="00B04406" w:rsidRDefault="005203C2" w:rsidP="005203C2">
      <w:pPr>
        <w:spacing w:after="120" w:line="240" w:lineRule="auto"/>
      </w:pPr>
      <w:r w:rsidRPr="00B04406">
        <w:t xml:space="preserve">In addition, health behavior research has identified </w:t>
      </w:r>
      <w:r w:rsidR="004F19A1">
        <w:t>several</w:t>
      </w:r>
      <w:r w:rsidRPr="00B04406">
        <w:t xml:space="preserve"> effective methods of increasing </w:t>
      </w:r>
      <w:r w:rsidR="00326D09" w:rsidRPr="00B04406">
        <w:t>wellness</w:t>
      </w:r>
      <w:r w:rsidRPr="00B04406">
        <w:t>. Mozaffarian et al. (2012) review</w:t>
      </w:r>
      <w:r w:rsidR="00326D09" w:rsidRPr="00B04406">
        <w:t>ed</w:t>
      </w:r>
      <w:r w:rsidRPr="00B04406">
        <w:t xml:space="preserve"> a large body of evidence </w:t>
      </w:r>
      <w:r w:rsidR="004F19A1">
        <w:t>that</w:t>
      </w:r>
      <w:r w:rsidRPr="00B04406">
        <w:t xml:space="preserve"> identified six population-wide </w:t>
      </w:r>
      <w:r w:rsidR="004F19A1">
        <w:t xml:space="preserve">strategies for </w:t>
      </w:r>
      <w:r w:rsidRPr="00B04406">
        <w:t>improv</w:t>
      </w:r>
      <w:r w:rsidR="004F19A1">
        <w:t>ing</w:t>
      </w:r>
      <w:r w:rsidRPr="00B04406">
        <w:t xml:space="preserve"> diet and physical activity </w:t>
      </w:r>
      <w:r w:rsidR="004F19A1">
        <w:t>and reducing</w:t>
      </w:r>
      <w:r w:rsidRPr="00B04406">
        <w:t xml:space="preserve"> cigarette smoking</w:t>
      </w:r>
      <w:r w:rsidR="00563961">
        <w:t>:</w:t>
      </w:r>
      <w:r w:rsidRPr="00B04406">
        <w:t xml:space="preserve"> (1)</w:t>
      </w:r>
      <w:r w:rsidR="00B27422" w:rsidRPr="00B04406">
        <w:t xml:space="preserve"> m</w:t>
      </w:r>
      <w:r w:rsidRPr="00B04406">
        <w:t xml:space="preserve">edia and educational campaigns; (2) labeling and consumer information; (3) taxation, subsidies, and other economic incentives; (4) school and workplace approaches; (5) local environmental changes; and (6) direct restrictions and mandates. </w:t>
      </w:r>
      <w:r w:rsidR="00023ECF" w:rsidRPr="00B04406">
        <w:t xml:space="preserve">Further, </w:t>
      </w:r>
      <w:r w:rsidRPr="00B04406">
        <w:t>Sallis</w:t>
      </w:r>
      <w:r w:rsidR="00607AE7">
        <w:t xml:space="preserve">, Floyd, Rodríguez, and Saelens </w:t>
      </w:r>
      <w:r w:rsidRPr="00B04406">
        <w:t>(2012) and Heath et al. (2012) review</w:t>
      </w:r>
      <w:r w:rsidR="00023ECF" w:rsidRPr="00B04406">
        <w:t>ed</w:t>
      </w:r>
      <w:r w:rsidRPr="00B04406">
        <w:t xml:space="preserve"> evidence showing that media</w:t>
      </w:r>
      <w:r w:rsidR="00880AAE" w:rsidRPr="00B04406">
        <w:t xml:space="preserve">, programs, and changes in the </w:t>
      </w:r>
      <w:r w:rsidRPr="00B04406">
        <w:t xml:space="preserve">environment can aid in increasing physical activity. </w:t>
      </w:r>
    </w:p>
    <w:p w14:paraId="1B21834E" w14:textId="544A08E7" w:rsidR="005203C2" w:rsidRPr="00564B73" w:rsidRDefault="00023ECF" w:rsidP="005203C2">
      <w:pPr>
        <w:spacing w:after="120" w:line="240" w:lineRule="auto"/>
      </w:pPr>
      <w:r w:rsidRPr="00B04406">
        <w:t xml:space="preserve">As </w:t>
      </w:r>
      <w:r w:rsidR="00674A59" w:rsidRPr="00325A95">
        <w:t>data</w:t>
      </w:r>
      <w:r w:rsidRPr="00674A59">
        <w:t xml:space="preserve"> about</w:t>
      </w:r>
      <w:r w:rsidRPr="00B04406">
        <w:t xml:space="preserve"> </w:t>
      </w:r>
      <w:r w:rsidR="004F19A1">
        <w:t>enhancing</w:t>
      </w:r>
      <w:r w:rsidRPr="00B04406">
        <w:t xml:space="preserve"> well</w:t>
      </w:r>
      <w:r w:rsidR="00352D77" w:rsidRPr="00B04406">
        <w:t>-</w:t>
      </w:r>
      <w:r w:rsidRPr="00B04406">
        <w:t>being</w:t>
      </w:r>
      <w:r w:rsidR="00674A59">
        <w:t xml:space="preserve"> accrue</w:t>
      </w:r>
      <w:r w:rsidRPr="00B04406">
        <w:t xml:space="preserve">, behavioral scientists have begun to test community-wide interventions. </w:t>
      </w:r>
      <w:r w:rsidR="004F19A1">
        <w:t>Randomized trials have shown that i</w:t>
      </w:r>
      <w:r w:rsidRPr="00B04406">
        <w:t>nterventions targeting the nurturanc</w:t>
      </w:r>
      <w:r w:rsidR="00BC6587" w:rsidRPr="00B04406">
        <w:t xml:space="preserve">e of youth </w:t>
      </w:r>
      <w:r w:rsidR="00731028">
        <w:t>can</w:t>
      </w:r>
      <w:r w:rsidRPr="00B04406">
        <w:t xml:space="preserve"> </w:t>
      </w:r>
      <w:r w:rsidR="004F19A1">
        <w:t>significantly reduce</w:t>
      </w:r>
      <w:r w:rsidRPr="00B04406">
        <w:t xml:space="preserve"> tobacco use (Biglan et al., 1996), drug use and abuse (Hawkins et al., 2012), high-risk sexual behavior (Jemmott, Jemmott, &amp; Fong, 2010), alcohol use and abuse (Komro et al., 2017; Perry et al., 2002; Wagenaar, Murray, &amp; Toomey, 2000), and substance use in general (Spoth, Guyll, Redmond, Greenberg, &amp; Feinberg</w:t>
      </w:r>
      <w:r w:rsidRPr="00564B73">
        <w:t>, 2011).</w:t>
      </w:r>
      <w:r w:rsidR="0033670E">
        <w:t xml:space="preserve"> </w:t>
      </w:r>
      <w:r w:rsidR="00674A59">
        <w:t>I</w:t>
      </w:r>
      <w:r w:rsidR="00B1270F" w:rsidRPr="0033670E">
        <w:t>ncreasing</w:t>
      </w:r>
      <w:r w:rsidR="005203C2" w:rsidRPr="0033670E">
        <w:t xml:space="preserve"> expenditur</w:t>
      </w:r>
      <w:r w:rsidR="00B1270F" w:rsidRPr="0033670E">
        <w:t>es</w:t>
      </w:r>
      <w:r w:rsidR="005203C2" w:rsidRPr="0033670E">
        <w:t xml:space="preserve"> on behavioral interventions to reduce conflict and coercion, prevent </w:t>
      </w:r>
      <w:r w:rsidR="00FA1DCC" w:rsidRPr="0033670E">
        <w:t>health</w:t>
      </w:r>
      <w:r w:rsidR="00FA1DCC">
        <w:t>-</w:t>
      </w:r>
      <w:r w:rsidR="005203C2" w:rsidRPr="0033670E">
        <w:t>compromising behavior, and promote healthy diets and physical activity ha</w:t>
      </w:r>
      <w:r w:rsidR="00B1270F" w:rsidRPr="0033670E">
        <w:t>s</w:t>
      </w:r>
      <w:r w:rsidR="005203C2" w:rsidRPr="0033670E">
        <w:t xml:space="preserve"> the potential to bring American health outcomes into line with </w:t>
      </w:r>
      <w:r w:rsidR="00674A59">
        <w:t xml:space="preserve">those of </w:t>
      </w:r>
      <w:r w:rsidR="005203C2" w:rsidRPr="0033670E">
        <w:t>other developed countries.</w:t>
      </w:r>
    </w:p>
    <w:p w14:paraId="6FB6FACF" w14:textId="37446CDF" w:rsidR="005203C2" w:rsidRPr="00F27E75" w:rsidRDefault="00E565CD" w:rsidP="005203C2">
      <w:pPr>
        <w:pStyle w:val="Heading3"/>
      </w:pPr>
      <w:r>
        <w:t xml:space="preserve">Facts </w:t>
      </w:r>
      <w:r w:rsidR="0072104B">
        <w:t xml:space="preserve">About </w:t>
      </w:r>
      <w:r w:rsidR="00BC6587">
        <w:t xml:space="preserve">Behavioral Research in the </w:t>
      </w:r>
      <w:r w:rsidR="00731028">
        <w:t>Workplace</w:t>
      </w:r>
    </w:p>
    <w:p w14:paraId="59C0CF3C" w14:textId="13BED03D" w:rsidR="005203C2" w:rsidRPr="00895D78" w:rsidRDefault="00023ECF" w:rsidP="005203C2">
      <w:pPr>
        <w:spacing w:after="120" w:line="240" w:lineRule="auto"/>
      </w:pPr>
      <w:r>
        <w:t xml:space="preserve">Behavioral </w:t>
      </w:r>
      <w:r w:rsidR="00B1270F">
        <w:t>science</w:t>
      </w:r>
      <w:r w:rsidR="00BC6587">
        <w:t xml:space="preserve"> has made</w:t>
      </w:r>
      <w:r w:rsidR="005203C2" w:rsidRPr="00564B73">
        <w:t xml:space="preserve"> major contributions to work</w:t>
      </w:r>
      <w:r w:rsidR="00B1270F">
        <w:t>-</w:t>
      </w:r>
      <w:r w:rsidR="005203C2" w:rsidRPr="00564B73">
        <w:t xml:space="preserve">life </w:t>
      </w:r>
      <w:r w:rsidR="00B1270F">
        <w:t xml:space="preserve">quality </w:t>
      </w:r>
      <w:r w:rsidR="005203C2" w:rsidRPr="00564B73">
        <w:t>and the e</w:t>
      </w:r>
      <w:r w:rsidR="00BC6587">
        <w:t xml:space="preserve">ffectiveness </w:t>
      </w:r>
      <w:r w:rsidR="00320D2D">
        <w:t xml:space="preserve">of </w:t>
      </w:r>
      <w:r w:rsidR="00320D2D" w:rsidRPr="004A55C9">
        <w:t xml:space="preserve">organizations. </w:t>
      </w:r>
      <w:r w:rsidR="00674A59">
        <w:t>B</w:t>
      </w:r>
      <w:r w:rsidR="00BC6587" w:rsidRPr="004A55C9">
        <w:t>ehaviorally</w:t>
      </w:r>
      <w:r w:rsidR="00674A59">
        <w:t xml:space="preserve"> </w:t>
      </w:r>
      <w:r w:rsidR="005203C2" w:rsidRPr="004A55C9">
        <w:t>based approaches to increasing worker safety significant</w:t>
      </w:r>
      <w:r w:rsidR="00B1270F">
        <w:t>ly</w:t>
      </w:r>
      <w:r w:rsidR="005203C2" w:rsidRPr="004A55C9">
        <w:t xml:space="preserve"> reduc</w:t>
      </w:r>
      <w:r w:rsidR="00B1270F">
        <w:t>e</w:t>
      </w:r>
      <w:r w:rsidR="005203C2" w:rsidRPr="004A55C9">
        <w:t xml:space="preserve"> ac</w:t>
      </w:r>
      <w:r w:rsidR="005203C2" w:rsidRPr="00B04406">
        <w:t xml:space="preserve">cidents and injury (McSween &amp; Moran, 2017; Sulzer-Azaroff &amp; Austin, 2000). </w:t>
      </w:r>
      <w:r w:rsidRPr="00B04406">
        <w:t xml:space="preserve">Behavioral </w:t>
      </w:r>
      <w:r w:rsidR="00B1270F">
        <w:t>science</w:t>
      </w:r>
      <w:r w:rsidR="005203C2" w:rsidRPr="00B04406">
        <w:t xml:space="preserve"> </w:t>
      </w:r>
      <w:r w:rsidR="00B1270F">
        <w:t>interventions</w:t>
      </w:r>
      <w:r w:rsidR="005203C2" w:rsidRPr="00B04406">
        <w:t xml:space="preserve"> also</w:t>
      </w:r>
      <w:r w:rsidR="00BC6587" w:rsidRPr="00B04406">
        <w:t xml:space="preserve"> increas</w:t>
      </w:r>
      <w:r w:rsidR="00B1270F">
        <w:t>e</w:t>
      </w:r>
      <w:r w:rsidR="00BC6587" w:rsidRPr="00B04406">
        <w:t xml:space="preserve"> productivity</w:t>
      </w:r>
      <w:r w:rsidR="00674A59">
        <w:t xml:space="preserve"> and</w:t>
      </w:r>
      <w:r w:rsidR="00674A59" w:rsidRPr="00B04406">
        <w:t xml:space="preserve"> </w:t>
      </w:r>
      <w:r w:rsidR="005203C2" w:rsidRPr="00B04406">
        <w:t>worker satisfaction</w:t>
      </w:r>
      <w:r w:rsidR="00674A59">
        <w:t>,</w:t>
      </w:r>
      <w:r w:rsidR="005203C2" w:rsidRPr="00B04406">
        <w:t xml:space="preserve"> and reduc</w:t>
      </w:r>
      <w:r w:rsidR="00B1270F">
        <w:t>e</w:t>
      </w:r>
      <w:r w:rsidR="005203C2" w:rsidRPr="00B04406">
        <w:t xml:space="preserve"> stress (Bond &amp; Bunce, 2000; Bond &amp; Bunce, 2003; Flaxman &amp; Bond, 2010). </w:t>
      </w:r>
      <w:r w:rsidR="00B1270F">
        <w:t>Further, t</w:t>
      </w:r>
      <w:r w:rsidR="005203C2" w:rsidRPr="00B04406">
        <w:t xml:space="preserve">here is evidence </w:t>
      </w:r>
      <w:r w:rsidR="00B0145E">
        <w:t>that</w:t>
      </w:r>
      <w:r w:rsidR="005203C2" w:rsidRPr="00B04406">
        <w:t xml:space="preserve"> </w:t>
      </w:r>
      <w:r w:rsidR="004C6395" w:rsidRPr="00895D78">
        <w:t>behaviorally</w:t>
      </w:r>
      <w:r w:rsidR="00B0145E" w:rsidRPr="00895D78">
        <w:t xml:space="preserve"> </w:t>
      </w:r>
      <w:r w:rsidR="004C6395" w:rsidRPr="00895D78">
        <w:t xml:space="preserve">based interventions aimed at </w:t>
      </w:r>
      <w:r w:rsidR="005203C2" w:rsidRPr="00895D78">
        <w:t>employee empowerment and autonomy reduc</w:t>
      </w:r>
      <w:r w:rsidR="00B1270F" w:rsidRPr="00895D78">
        <w:t>e</w:t>
      </w:r>
      <w:r w:rsidR="005203C2" w:rsidRPr="00895D78">
        <w:t xml:space="preserve"> turnover (Liu, Zhang, Wang, &amp; Lee, 2011). In </w:t>
      </w:r>
      <w:r w:rsidR="00BC6587" w:rsidRPr="00895D78">
        <w:t>short, behavioral science contributes</w:t>
      </w:r>
      <w:r w:rsidR="005203C2" w:rsidRPr="00895D78">
        <w:t xml:space="preserve"> to making our work organizations more productive, safer, and less stressful. </w:t>
      </w:r>
    </w:p>
    <w:p w14:paraId="6DE2734B" w14:textId="1A475D39" w:rsidR="007F67D9" w:rsidRPr="00DA43D9" w:rsidRDefault="007F67D9" w:rsidP="005203C2">
      <w:pPr>
        <w:pStyle w:val="Heading3"/>
      </w:pPr>
      <w:r w:rsidRPr="00DA43D9">
        <w:t xml:space="preserve">Facts </w:t>
      </w:r>
      <w:r w:rsidR="0072104B" w:rsidRPr="00DA43D9">
        <w:t xml:space="preserve">About </w:t>
      </w:r>
      <w:r w:rsidRPr="00DA43D9">
        <w:t>Climate Change</w:t>
      </w:r>
    </w:p>
    <w:p w14:paraId="236DEAFA" w14:textId="303331D7" w:rsidR="007F67D9" w:rsidRPr="00895D78" w:rsidRDefault="007F67D9" w:rsidP="00E90BAD">
      <w:pPr>
        <w:spacing w:after="120" w:line="240" w:lineRule="auto"/>
      </w:pPr>
      <w:r w:rsidRPr="00895D78">
        <w:t xml:space="preserve">The physical sciences are effectively documenting the extent, causes, and trajectory of climate change (National Aeronautics and Space Administration, 2017). The evidence </w:t>
      </w:r>
      <w:r w:rsidR="00674A59">
        <w:t>predicts</w:t>
      </w:r>
      <w:r w:rsidRPr="00895D78">
        <w:t xml:space="preserve"> catastrophic outcomes across essentially all of the dimensions discussed above (Alavosius, Newsome, Houmanfar, &amp; Biglan, 2016) </w:t>
      </w:r>
      <w:r w:rsidR="00B1270F" w:rsidRPr="00895D78">
        <w:t>if</w:t>
      </w:r>
      <w:r w:rsidRPr="00895D78">
        <w:t xml:space="preserve"> the human behavior that affects climate change</w:t>
      </w:r>
      <w:r w:rsidR="00674A59" w:rsidRPr="00674A59">
        <w:t xml:space="preserve"> </w:t>
      </w:r>
      <w:r w:rsidR="00674A59">
        <w:t>does</w:t>
      </w:r>
      <w:r w:rsidR="00674A59" w:rsidRPr="00895D78">
        <w:t xml:space="preserve"> not dramatically change</w:t>
      </w:r>
      <w:r w:rsidRPr="00895D78">
        <w:t xml:space="preserve">. </w:t>
      </w:r>
      <w:r w:rsidR="00B1270F" w:rsidRPr="00895D78">
        <w:t xml:space="preserve">A critical problem is </w:t>
      </w:r>
      <w:r w:rsidR="00674A59">
        <w:t xml:space="preserve">the current </w:t>
      </w:r>
      <w:r w:rsidRPr="00895D78">
        <w:t xml:space="preserve">lack </w:t>
      </w:r>
      <w:r w:rsidR="00674A59">
        <w:t xml:space="preserve">of </w:t>
      </w:r>
      <w:r w:rsidRPr="00895D78">
        <w:t>an aggressive program of experimental research to test diverse strategies for changing climate-relevant behavior</w:t>
      </w:r>
      <w:r w:rsidR="00657447" w:rsidRPr="00895D78">
        <w:t xml:space="preserve">; this </w:t>
      </w:r>
      <w:r w:rsidR="00674A59">
        <w:t>must be a</w:t>
      </w:r>
      <w:r w:rsidR="00657447" w:rsidRPr="00895D78">
        <w:t xml:space="preserve"> priority for behavior</w:t>
      </w:r>
      <w:r w:rsidR="009A129A">
        <w:t>al</w:t>
      </w:r>
      <w:r w:rsidR="00657447" w:rsidRPr="00895D78">
        <w:t xml:space="preserve"> science going forward.</w:t>
      </w:r>
    </w:p>
    <w:p w14:paraId="54DB0A56" w14:textId="5B3015B5" w:rsidR="005203C2" w:rsidRPr="00DA43D9" w:rsidRDefault="00E565CD" w:rsidP="005203C2">
      <w:pPr>
        <w:pStyle w:val="Heading3"/>
      </w:pPr>
      <w:r w:rsidRPr="00DA43D9">
        <w:lastRenderedPageBreak/>
        <w:t xml:space="preserve">Facts </w:t>
      </w:r>
      <w:r w:rsidR="0072104B" w:rsidRPr="00DA43D9">
        <w:t xml:space="preserve">About </w:t>
      </w:r>
      <w:r w:rsidR="00F4768C" w:rsidRPr="00DA43D9">
        <w:t>Empirically Validated</w:t>
      </w:r>
      <w:r w:rsidR="00BC6587" w:rsidRPr="00DA43D9">
        <w:t xml:space="preserve"> Public</w:t>
      </w:r>
      <w:r w:rsidRPr="00DA43D9">
        <w:t xml:space="preserve"> </w:t>
      </w:r>
      <w:r w:rsidR="005203C2" w:rsidRPr="00DA43D9">
        <w:t>Policy</w:t>
      </w:r>
    </w:p>
    <w:p w14:paraId="72286167" w14:textId="502D39C4" w:rsidR="005203C2" w:rsidRPr="00895D78" w:rsidRDefault="00BC6587" w:rsidP="005203C2">
      <w:pPr>
        <w:spacing w:after="120" w:line="240" w:lineRule="auto"/>
      </w:pPr>
      <w:r w:rsidRPr="00895D78">
        <w:t xml:space="preserve">The </w:t>
      </w:r>
      <w:r w:rsidR="005203C2" w:rsidRPr="00895D78">
        <w:t>well</w:t>
      </w:r>
      <w:r w:rsidR="00352D77" w:rsidRPr="00895D78">
        <w:t>-</w:t>
      </w:r>
      <w:r w:rsidR="005203C2" w:rsidRPr="00895D78">
        <w:t xml:space="preserve">being </w:t>
      </w:r>
      <w:r w:rsidRPr="00895D78">
        <w:t xml:space="preserve">of individuals and society is dependent </w:t>
      </w:r>
      <w:r w:rsidR="005203C2" w:rsidRPr="00895D78">
        <w:t>on effective public policy (W</w:t>
      </w:r>
      <w:r w:rsidRPr="00895D78">
        <w:t xml:space="preserve">agenaar &amp; Burris, 2013). We have </w:t>
      </w:r>
      <w:r w:rsidR="005203C2" w:rsidRPr="00895D78">
        <w:t>witness</w:t>
      </w:r>
      <w:r w:rsidRPr="00895D78">
        <w:t>ed</w:t>
      </w:r>
      <w:r w:rsidR="00320D2D" w:rsidRPr="00895D78">
        <w:t xml:space="preserve"> </w:t>
      </w:r>
      <w:r w:rsidR="005203C2" w:rsidRPr="00895D78">
        <w:t>considerable progress in empirically evaluating the impact of policie</w:t>
      </w:r>
      <w:r w:rsidRPr="00895D78">
        <w:t>s on health and well</w:t>
      </w:r>
      <w:r w:rsidR="00352D77" w:rsidRPr="00895D78">
        <w:t>-</w:t>
      </w:r>
      <w:r w:rsidRPr="00895D78">
        <w:t>being. For example, solid</w:t>
      </w:r>
      <w:r w:rsidR="005203C2" w:rsidRPr="00895D78">
        <w:t xml:space="preserve"> evidence shows that increased taxation </w:t>
      </w:r>
      <w:r w:rsidR="00C42049" w:rsidRPr="00895D78">
        <w:t>o</w:t>
      </w:r>
      <w:r w:rsidR="00C42049">
        <w:t>f</w:t>
      </w:r>
      <w:r w:rsidR="00C42049" w:rsidRPr="00895D78">
        <w:t xml:space="preserve"> </w:t>
      </w:r>
      <w:r w:rsidR="005203C2" w:rsidRPr="00895D78">
        <w:t xml:space="preserve">cigarettes and alcohol </w:t>
      </w:r>
      <w:r w:rsidR="00173E98">
        <w:t>helps</w:t>
      </w:r>
      <w:r w:rsidRPr="00895D78">
        <w:t xml:space="preserve"> </w:t>
      </w:r>
      <w:r w:rsidR="00173E98" w:rsidRPr="00895D78">
        <w:t>reduc</w:t>
      </w:r>
      <w:r w:rsidR="00173E98">
        <w:t>e</w:t>
      </w:r>
      <w:r w:rsidR="00173E98" w:rsidRPr="00895D78">
        <w:t xml:space="preserve"> </w:t>
      </w:r>
      <w:r w:rsidR="007346C5">
        <w:t xml:space="preserve">their </w:t>
      </w:r>
      <w:r w:rsidR="005203C2" w:rsidRPr="00895D78">
        <w:t xml:space="preserve">use and </w:t>
      </w:r>
      <w:r w:rsidR="00023ECF" w:rsidRPr="00895D78">
        <w:t xml:space="preserve">subsequent </w:t>
      </w:r>
      <w:r w:rsidR="005203C2" w:rsidRPr="00895D78">
        <w:t xml:space="preserve">harm (Congressional Budget Office, 2012; </w:t>
      </w:r>
      <w:r w:rsidR="00B0145E" w:rsidRPr="00B53B58">
        <w:t>Xu</w:t>
      </w:r>
      <w:r w:rsidR="005203C2" w:rsidRPr="00895D78">
        <w:t xml:space="preserve"> &amp; Chaloupka, 2011). Komro, Tobler, Delisle, Ryan, and Wagenaar (2013) identified more than 40 policies proven </w:t>
      </w:r>
      <w:r w:rsidR="007346C5">
        <w:t>to</w:t>
      </w:r>
      <w:r w:rsidR="005203C2" w:rsidRPr="00895D78">
        <w:t xml:space="preserve"> improv</w:t>
      </w:r>
      <w:r w:rsidR="007346C5">
        <w:t>e</w:t>
      </w:r>
      <w:r w:rsidR="005203C2" w:rsidRPr="00895D78">
        <w:t xml:space="preserve"> </w:t>
      </w:r>
      <w:r w:rsidR="00B0145E" w:rsidRPr="00895D78">
        <w:t>children’s</w:t>
      </w:r>
      <w:r w:rsidR="005203C2" w:rsidRPr="00895D78">
        <w:t xml:space="preserve"> well</w:t>
      </w:r>
      <w:r w:rsidR="00352D77" w:rsidRPr="00895D78">
        <w:t>-</w:t>
      </w:r>
      <w:r w:rsidR="005203C2" w:rsidRPr="00895D78">
        <w:t xml:space="preserve">being. </w:t>
      </w:r>
      <w:r w:rsidR="00B0145E" w:rsidRPr="00895D78">
        <w:t>F</w:t>
      </w:r>
      <w:r w:rsidR="00320D2D" w:rsidRPr="00895D78">
        <w:t xml:space="preserve">urther extension of behavioral science into </w:t>
      </w:r>
      <w:r w:rsidR="00C42049">
        <w:t>public health</w:t>
      </w:r>
      <w:r w:rsidR="00320D2D" w:rsidRPr="00895D78">
        <w:t xml:space="preserve"> </w:t>
      </w:r>
      <w:r w:rsidR="00C42049">
        <w:t>would allow for</w:t>
      </w:r>
      <w:r w:rsidR="00320D2D" w:rsidRPr="00895D78">
        <w:t xml:space="preserve"> empirical evaluations to address the efficacy of public policy.</w:t>
      </w:r>
    </w:p>
    <w:p w14:paraId="122D964B" w14:textId="08121216" w:rsidR="00A33E21" w:rsidRPr="005203C2" w:rsidRDefault="00E73865" w:rsidP="00A33E21">
      <w:pPr>
        <w:spacing w:after="120" w:line="240" w:lineRule="auto"/>
      </w:pPr>
      <w:r>
        <w:t>T</w:t>
      </w:r>
      <w:r w:rsidR="005203C2" w:rsidRPr="00895D78">
        <w:t>here is</w:t>
      </w:r>
      <w:r>
        <w:t>, h</w:t>
      </w:r>
      <w:r w:rsidRPr="00895D78">
        <w:t xml:space="preserve">owever, </w:t>
      </w:r>
      <w:r w:rsidR="005203C2" w:rsidRPr="00895D78">
        <w:t xml:space="preserve">far less evidence </w:t>
      </w:r>
      <w:r>
        <w:t>on</w:t>
      </w:r>
      <w:r w:rsidR="00C42049" w:rsidRPr="00895D78">
        <w:t xml:space="preserve"> </w:t>
      </w:r>
      <w:r w:rsidR="005203C2" w:rsidRPr="00895D78">
        <w:t xml:space="preserve">how to encourage </w:t>
      </w:r>
      <w:r>
        <w:t>enactment</w:t>
      </w:r>
      <w:r w:rsidR="005203C2" w:rsidRPr="00895D78">
        <w:t xml:space="preserve"> of tested and effective policies</w:t>
      </w:r>
      <w:r w:rsidR="00023ECF" w:rsidRPr="00895D78">
        <w:t xml:space="preserve">. </w:t>
      </w:r>
      <w:r w:rsidR="005203C2" w:rsidRPr="00895D78">
        <w:t>Here</w:t>
      </w:r>
      <w:r w:rsidR="00C42049">
        <w:t>,</w:t>
      </w:r>
      <w:r w:rsidR="005203C2" w:rsidRPr="00895D78">
        <w:t xml:space="preserve"> too, behavioral</w:t>
      </w:r>
      <w:r w:rsidR="005203C2" w:rsidRPr="00564B73">
        <w:t xml:space="preserve"> research can</w:t>
      </w:r>
      <w:r w:rsidR="00320D2D">
        <w:t xml:space="preserve"> help to</w:t>
      </w:r>
      <w:r w:rsidR="005203C2" w:rsidRPr="00564B73">
        <w:t xml:space="preserve"> identify strategies </w:t>
      </w:r>
      <w:r w:rsidR="00023ECF">
        <w:t xml:space="preserve">for </w:t>
      </w:r>
      <w:r>
        <w:t>implementation</w:t>
      </w:r>
      <w:r w:rsidR="005203C2" w:rsidRPr="00564B73">
        <w:t>.</w:t>
      </w:r>
    </w:p>
    <w:p w14:paraId="79EB880B" w14:textId="1042587C" w:rsidR="005203C2" w:rsidRPr="005203C2" w:rsidRDefault="00F4768C" w:rsidP="00D12528">
      <w:pPr>
        <w:pStyle w:val="Heading2"/>
        <w:numPr>
          <w:ilvl w:val="0"/>
          <w:numId w:val="0"/>
        </w:numPr>
        <w:spacing w:before="240"/>
        <w:ind w:left="360" w:hanging="360"/>
        <w:jc w:val="center"/>
      </w:pPr>
      <w:r>
        <w:t xml:space="preserve">sHARED VALUES AND </w:t>
      </w:r>
      <w:r w:rsidR="005203C2">
        <w:t>guid</w:t>
      </w:r>
      <w:r>
        <w:t>ing PRINCIPLES</w:t>
      </w:r>
      <w:r w:rsidR="005203C2">
        <w:t xml:space="preserve"> of the coalition</w:t>
      </w:r>
    </w:p>
    <w:p w14:paraId="5BCF152A" w14:textId="3865D070" w:rsidR="00A33E21" w:rsidRPr="00B53B58" w:rsidRDefault="00F4768C" w:rsidP="00B53B58">
      <w:pPr>
        <w:spacing w:after="120" w:line="240" w:lineRule="auto"/>
      </w:pPr>
      <w:r w:rsidRPr="00B53B58">
        <w:t xml:space="preserve">The bedrock values of the Coalition of Behavioral Science Organizations </w:t>
      </w:r>
      <w:r w:rsidR="00C42049">
        <w:t>ar</w:t>
      </w:r>
      <w:r w:rsidR="00C42049" w:rsidRPr="00B53B58">
        <w:t xml:space="preserve">e </w:t>
      </w:r>
      <w:r w:rsidR="00320D2D" w:rsidRPr="00B53B58">
        <w:t>commitment</w:t>
      </w:r>
      <w:r w:rsidR="00E15EE6">
        <w:t>s</w:t>
      </w:r>
      <w:r w:rsidR="00320D2D" w:rsidRPr="00B53B58">
        <w:t xml:space="preserve"> to</w:t>
      </w:r>
      <w:r w:rsidRPr="00B53B58">
        <w:t xml:space="preserve"> </w:t>
      </w:r>
      <w:r w:rsidR="00C42049">
        <w:t>(a</w:t>
      </w:r>
      <w:r w:rsidRPr="00B53B58">
        <w:t>) health and well</w:t>
      </w:r>
      <w:r w:rsidR="00352D77" w:rsidRPr="00B53B58">
        <w:t>-</w:t>
      </w:r>
      <w:r w:rsidRPr="00B53B58">
        <w:t xml:space="preserve">being for all, </w:t>
      </w:r>
      <w:r w:rsidR="00C42049">
        <w:t>(b</w:t>
      </w:r>
      <w:r w:rsidRPr="00B53B58">
        <w:t xml:space="preserve">) scientific evidence as the basis for societal decision-making, and </w:t>
      </w:r>
      <w:r w:rsidR="00C42049">
        <w:t>(c</w:t>
      </w:r>
      <w:r w:rsidRPr="00B53B58">
        <w:t xml:space="preserve">) public policy as a mechanism for fostering positive change. </w:t>
      </w:r>
      <w:r w:rsidR="00320D2D" w:rsidRPr="00B53B58">
        <w:t>As previously highlighted</w:t>
      </w:r>
      <w:r w:rsidR="00A33E21" w:rsidRPr="00B53B58">
        <w:t xml:space="preserve">, </w:t>
      </w:r>
      <w:r w:rsidRPr="00B53B58">
        <w:t>behavioral</w:t>
      </w:r>
      <w:r w:rsidR="00A33E21" w:rsidRPr="00B53B58">
        <w:t xml:space="preserve"> science has made great strides in understanding what human beings need to thrive and</w:t>
      </w:r>
      <w:r w:rsidRPr="00B53B58">
        <w:t xml:space="preserve"> </w:t>
      </w:r>
      <w:r w:rsidR="00A33E21" w:rsidRPr="00B53B58">
        <w:t xml:space="preserve">how </w:t>
      </w:r>
      <w:r w:rsidR="00B0145E" w:rsidRPr="00B53B58">
        <w:t>to</w:t>
      </w:r>
      <w:r w:rsidR="00A33E21" w:rsidRPr="00B53B58">
        <w:t xml:space="preserve"> foster healthy development. However, </w:t>
      </w:r>
      <w:r w:rsidRPr="00B53B58">
        <w:t xml:space="preserve">this has yet to </w:t>
      </w:r>
      <w:r w:rsidR="00A33E21" w:rsidRPr="00B53B58">
        <w:t xml:space="preserve">become </w:t>
      </w:r>
      <w:r w:rsidRPr="00B53B58">
        <w:t xml:space="preserve">common </w:t>
      </w:r>
      <w:r w:rsidR="003C46BE" w:rsidRPr="00B53B58">
        <w:t xml:space="preserve">knowledge </w:t>
      </w:r>
      <w:r w:rsidR="00320D2D" w:rsidRPr="00B53B58">
        <w:t xml:space="preserve">across communities. </w:t>
      </w:r>
      <w:r w:rsidR="004B5A91">
        <w:t>C</w:t>
      </w:r>
      <w:r w:rsidRPr="00B53B58">
        <w:t>itizen</w:t>
      </w:r>
      <w:r w:rsidR="004B5A91">
        <w:t>s and</w:t>
      </w:r>
      <w:r w:rsidRPr="00B53B58">
        <w:t xml:space="preserve"> elected officials</w:t>
      </w:r>
      <w:r w:rsidR="004B5A91">
        <w:t xml:space="preserve"> </w:t>
      </w:r>
      <w:r w:rsidR="00A33E21" w:rsidRPr="00B53B58">
        <w:t xml:space="preserve">are </w:t>
      </w:r>
      <w:r w:rsidRPr="00B53B58">
        <w:t>generally un</w:t>
      </w:r>
      <w:r w:rsidR="00A33E21" w:rsidRPr="00B53B58">
        <w:t xml:space="preserve">aware of the </w:t>
      </w:r>
      <w:r w:rsidRPr="00B53B58">
        <w:t xml:space="preserve">great </w:t>
      </w:r>
      <w:r w:rsidR="00EA2114" w:rsidRPr="00B53B58">
        <w:t xml:space="preserve">record and </w:t>
      </w:r>
      <w:r w:rsidRPr="00B53B58">
        <w:t xml:space="preserve">promise of </w:t>
      </w:r>
      <w:r w:rsidR="00A33E21" w:rsidRPr="00B53B58">
        <w:t>behavioral science</w:t>
      </w:r>
      <w:r w:rsidRPr="00B53B58">
        <w:t>.</w:t>
      </w:r>
      <w:r w:rsidR="00EA2114" w:rsidRPr="00B53B58">
        <w:t xml:space="preserve"> Moreover</w:t>
      </w:r>
      <w:r w:rsidR="00320D2D" w:rsidRPr="00895D78">
        <w:t>, the extent to which nurturing environments</w:t>
      </w:r>
      <w:r w:rsidR="00A33E21" w:rsidRPr="00895D78">
        <w:t xml:space="preserve"> contribute to health is not widely understood, even by many professionals charged with improving the </w:t>
      </w:r>
      <w:r w:rsidR="00FC70A5">
        <w:t>public’s</w:t>
      </w:r>
      <w:r w:rsidR="00A33E21" w:rsidRPr="00895D78">
        <w:t xml:space="preserve"> health. </w:t>
      </w:r>
      <w:r w:rsidR="00A33E21" w:rsidRPr="00B53B58">
        <w:t>The core mission of the Coalition of Behavio</w:t>
      </w:r>
      <w:r w:rsidR="00D21AFB" w:rsidRPr="00B53B58">
        <w:t>ral Science Organizations</w:t>
      </w:r>
      <w:r w:rsidR="00A33E21" w:rsidRPr="00B53B58">
        <w:t xml:space="preserve"> is to expand such awareness and thereby support </w:t>
      </w:r>
      <w:r w:rsidR="00320D2D" w:rsidRPr="00B53B58">
        <w:t xml:space="preserve">research and dissemination of </w:t>
      </w:r>
      <w:r w:rsidR="00A33E21" w:rsidRPr="00B53B58">
        <w:t>cultural</w:t>
      </w:r>
      <w:r w:rsidR="00D21AFB" w:rsidRPr="00B53B58">
        <w:t>ly competent</w:t>
      </w:r>
      <w:r w:rsidR="00A33E21" w:rsidRPr="00B53B58">
        <w:t xml:space="preserve"> practices that enhance nurturing societies, guided by the following </w:t>
      </w:r>
      <w:r w:rsidR="00D21AFB" w:rsidRPr="00B53B58">
        <w:t xml:space="preserve">inter-related </w:t>
      </w:r>
      <w:r w:rsidR="00A33E21" w:rsidRPr="00B53B58">
        <w:t>principles</w:t>
      </w:r>
      <w:r w:rsidR="00E0730C">
        <w:t>, which summarize the more extensive discussions of major points made in this document:</w:t>
      </w:r>
      <w:r w:rsidR="00A33E21" w:rsidRPr="00B53B58">
        <w:t xml:space="preserve"> </w:t>
      </w:r>
    </w:p>
    <w:p w14:paraId="6F83D1BF" w14:textId="5694F0EE" w:rsidR="00A33E21" w:rsidRPr="00895D78" w:rsidRDefault="00A33E21" w:rsidP="00B53B58">
      <w:pPr>
        <w:spacing w:after="120" w:line="240" w:lineRule="auto"/>
      </w:pPr>
      <w:r w:rsidRPr="00895D78">
        <w:rPr>
          <w:rFonts w:cstheme="minorHAnsi"/>
          <w:b/>
        </w:rPr>
        <w:t>1. Systematic attention to the social determinants of health and well</w:t>
      </w:r>
      <w:r w:rsidR="007F67D9" w:rsidRPr="00895D78">
        <w:rPr>
          <w:rFonts w:cstheme="minorHAnsi"/>
          <w:b/>
        </w:rPr>
        <w:t>-being</w:t>
      </w:r>
      <w:r w:rsidRPr="00895D78">
        <w:rPr>
          <w:rFonts w:cstheme="minorHAnsi"/>
          <w:b/>
        </w:rPr>
        <w:t xml:space="preserve"> is a core requirement for constructing healthy societies. </w:t>
      </w:r>
      <w:r w:rsidR="005613EB">
        <w:t>Helping people avoid</w:t>
      </w:r>
      <w:r w:rsidR="005613EB" w:rsidRPr="00895D78">
        <w:t xml:space="preserve"> </w:t>
      </w:r>
      <w:r w:rsidRPr="00895D78">
        <w:t>smoking, drug abuse, depression, stress, obesity</w:t>
      </w:r>
      <w:r w:rsidR="00B0145E" w:rsidRPr="00895D78">
        <w:t>,</w:t>
      </w:r>
      <w:r w:rsidRPr="00895D78">
        <w:t xml:space="preserve"> and antisocial behaviors can contribute to prevention of the most common and </w:t>
      </w:r>
      <w:r w:rsidR="005613EB" w:rsidRPr="00895D78">
        <w:t>costl</w:t>
      </w:r>
      <w:r w:rsidR="005613EB">
        <w:t>iest</w:t>
      </w:r>
      <w:r w:rsidR="005613EB" w:rsidRPr="00895D78">
        <w:t xml:space="preserve"> </w:t>
      </w:r>
      <w:r w:rsidRPr="00895D78">
        <w:t>causes of premature death, including cancer, diabetes</w:t>
      </w:r>
      <w:r w:rsidR="00B0145E" w:rsidRPr="00895D78">
        <w:t>,</w:t>
      </w:r>
      <w:r w:rsidRPr="00895D78">
        <w:t xml:space="preserve"> and cardiovascular disease. </w:t>
      </w:r>
      <w:r w:rsidR="005613EB">
        <w:t>Thos</w:t>
      </w:r>
      <w:r w:rsidR="005613EB" w:rsidRPr="00895D78">
        <w:t xml:space="preserve">e </w:t>
      </w:r>
      <w:r w:rsidR="00B0145E" w:rsidRPr="00895D78">
        <w:t>living</w:t>
      </w:r>
      <w:r w:rsidRPr="00895D78">
        <w:t xml:space="preserve"> in socially toxic conditions, </w:t>
      </w:r>
      <w:r w:rsidR="005613EB">
        <w:t xml:space="preserve">with </w:t>
      </w:r>
      <w:r w:rsidRPr="00895D78">
        <w:t xml:space="preserve">high levels of conflict, poverty, violence, and isolation/segregation, are at substantial risk </w:t>
      </w:r>
      <w:r w:rsidR="00095DB3">
        <w:t>of</w:t>
      </w:r>
      <w:r w:rsidRPr="00895D78">
        <w:t xml:space="preserve"> premature health problems and death.</w:t>
      </w:r>
    </w:p>
    <w:p w14:paraId="62F99F73" w14:textId="3550B803" w:rsidR="007F67D9" w:rsidRDefault="007F67D9" w:rsidP="00B53B58">
      <w:pPr>
        <w:spacing w:after="120" w:line="240" w:lineRule="auto"/>
      </w:pPr>
      <w:r w:rsidRPr="00895D78">
        <w:rPr>
          <w:rFonts w:cstheme="minorHAnsi"/>
          <w:b/>
        </w:rPr>
        <w:t>2. Enhancing personal and family well</w:t>
      </w:r>
      <w:r w:rsidR="00C22F19" w:rsidRPr="00895D78">
        <w:rPr>
          <w:rFonts w:cstheme="minorHAnsi"/>
          <w:b/>
        </w:rPr>
        <w:t>-</w:t>
      </w:r>
      <w:r w:rsidRPr="00895D78">
        <w:rPr>
          <w:rFonts w:cstheme="minorHAnsi"/>
          <w:b/>
        </w:rPr>
        <w:t xml:space="preserve">being contributes in fundamental ways to nurturing societies. </w:t>
      </w:r>
      <w:r w:rsidRPr="00895D78">
        <w:t>Taken collectively, programs designed to enhance personal and family well</w:t>
      </w:r>
      <w:r w:rsidR="008D7552" w:rsidRPr="00895D78">
        <w:t>-</w:t>
      </w:r>
      <w:r w:rsidRPr="00895D78">
        <w:t xml:space="preserve">being have </w:t>
      </w:r>
      <w:r w:rsidR="005613EB">
        <w:t xml:space="preserve">shown </w:t>
      </w:r>
      <w:r w:rsidR="00BC44A4">
        <w:t>the ability</w:t>
      </w:r>
      <w:r w:rsidR="005613EB">
        <w:t xml:space="preserve"> to </w:t>
      </w:r>
      <w:r w:rsidRPr="00895D78">
        <w:t xml:space="preserve">reduce or prevent virtually all </w:t>
      </w:r>
      <w:r w:rsidR="00086873" w:rsidRPr="00895D78">
        <w:t xml:space="preserve">of </w:t>
      </w:r>
      <w:r w:rsidRPr="00895D78">
        <w:t xml:space="preserve">the most common and </w:t>
      </w:r>
      <w:r w:rsidR="005613EB" w:rsidRPr="00895D78">
        <w:t>costl</w:t>
      </w:r>
      <w:r w:rsidR="005613EB">
        <w:t>iest</w:t>
      </w:r>
      <w:r w:rsidR="005613EB" w:rsidRPr="00895D78">
        <w:t xml:space="preserve"> </w:t>
      </w:r>
      <w:r w:rsidRPr="00895D78">
        <w:t xml:space="preserve">psychological and behavioral problems, including antisocial behavior; delinquency; </w:t>
      </w:r>
      <w:r w:rsidR="005A6970">
        <w:t xml:space="preserve">use of </w:t>
      </w:r>
      <w:r w:rsidRPr="00895D78">
        <w:t>tobacco, alcohol, and other substance</w:t>
      </w:r>
      <w:r w:rsidR="005A6970">
        <w:t>s</w:t>
      </w:r>
      <w:r w:rsidRPr="00895D78">
        <w:t xml:space="preserve">; truancy; depression; and </w:t>
      </w:r>
      <w:r w:rsidR="005613EB" w:rsidRPr="00895D78">
        <w:t xml:space="preserve">risky </w:t>
      </w:r>
      <w:r w:rsidRPr="00895D78">
        <w:t>sexual behavior. There is also evidence that many of these programs are cost efficient when compared to services delivered later.</w:t>
      </w:r>
    </w:p>
    <w:p w14:paraId="7363A8B9" w14:textId="2545AA88" w:rsidR="00A33E21" w:rsidRPr="00895D78" w:rsidRDefault="007F67D9" w:rsidP="00B53B58">
      <w:pPr>
        <w:spacing w:after="120" w:line="240" w:lineRule="auto"/>
        <w:rPr>
          <w:rFonts w:cstheme="minorHAnsi"/>
          <w:b/>
        </w:rPr>
      </w:pPr>
      <w:r w:rsidRPr="00895D78">
        <w:rPr>
          <w:b/>
        </w:rPr>
        <w:t>3</w:t>
      </w:r>
      <w:r w:rsidR="00A33E21" w:rsidRPr="00895D78">
        <w:rPr>
          <w:b/>
        </w:rPr>
        <w:t xml:space="preserve">. Evidence-based interventions for virtually every significant psychological or behavioral problem exist and </w:t>
      </w:r>
      <w:r w:rsidR="005613EB" w:rsidRPr="00895D78">
        <w:rPr>
          <w:b/>
        </w:rPr>
        <w:t>c</w:t>
      </w:r>
      <w:r w:rsidR="005613EB">
        <w:rPr>
          <w:b/>
        </w:rPr>
        <w:t>ould</w:t>
      </w:r>
      <w:r w:rsidR="005613EB" w:rsidRPr="00895D78">
        <w:rPr>
          <w:b/>
        </w:rPr>
        <w:t xml:space="preserve"> </w:t>
      </w:r>
      <w:r w:rsidR="00A33E21" w:rsidRPr="00895D78">
        <w:rPr>
          <w:b/>
        </w:rPr>
        <w:t>be</w:t>
      </w:r>
      <w:r w:rsidR="005613EB">
        <w:rPr>
          <w:b/>
        </w:rPr>
        <w:t xml:space="preserve"> made</w:t>
      </w:r>
      <w:r w:rsidR="00A33E21" w:rsidRPr="00895D78">
        <w:rPr>
          <w:b/>
        </w:rPr>
        <w:t xml:space="preserve"> </w:t>
      </w:r>
      <w:r w:rsidR="00895D78" w:rsidRPr="00895D78">
        <w:rPr>
          <w:b/>
        </w:rPr>
        <w:t xml:space="preserve">available </w:t>
      </w:r>
      <w:r w:rsidR="00A33E21" w:rsidRPr="00895D78">
        <w:rPr>
          <w:b/>
        </w:rPr>
        <w:t xml:space="preserve">effectively and efficiently. </w:t>
      </w:r>
      <w:r w:rsidR="00A33E21" w:rsidRPr="00895D78">
        <w:t>Access to</w:t>
      </w:r>
      <w:r w:rsidR="00086873" w:rsidRPr="00895D78">
        <w:t xml:space="preserve"> preventive support and effective treatment </w:t>
      </w:r>
      <w:r w:rsidR="00A33E21" w:rsidRPr="00895D78">
        <w:t xml:space="preserve">is improving, but </w:t>
      </w:r>
      <w:r w:rsidR="005A6970">
        <w:t xml:space="preserve">these interventions </w:t>
      </w:r>
      <w:r w:rsidR="00A33E21" w:rsidRPr="00895D78">
        <w:t>still reach only a small portion of those who could benefit</w:t>
      </w:r>
      <w:r w:rsidR="00895D78" w:rsidRPr="00895D78">
        <w:t xml:space="preserve"> from </w:t>
      </w:r>
      <w:r w:rsidR="005A6970">
        <w:t>them</w:t>
      </w:r>
      <w:r w:rsidR="00A33E21" w:rsidRPr="00895D78">
        <w:rPr>
          <w:b/>
        </w:rPr>
        <w:t xml:space="preserve">. </w:t>
      </w:r>
      <w:r w:rsidR="005A6970" w:rsidRPr="00325A95">
        <w:t>Measures to</w:t>
      </w:r>
      <w:r w:rsidR="00895D78" w:rsidRPr="00895D78">
        <w:t xml:space="preserve"> increase a</w:t>
      </w:r>
      <w:r w:rsidR="001E3785" w:rsidRPr="00895D78">
        <w:t xml:space="preserve">vailability and accessibility </w:t>
      </w:r>
      <w:r w:rsidR="00A35332">
        <w:t>are essential</w:t>
      </w:r>
      <w:r w:rsidR="001E3785" w:rsidRPr="00895D78">
        <w:t xml:space="preserve">. </w:t>
      </w:r>
    </w:p>
    <w:p w14:paraId="0029AA25" w14:textId="4887C14B" w:rsidR="00DC3E89" w:rsidRPr="00895D78" w:rsidRDefault="006E1673" w:rsidP="00B53B58">
      <w:pPr>
        <w:spacing w:after="120" w:line="240" w:lineRule="auto"/>
        <w:rPr>
          <w:rFonts w:cs="Times New Roman"/>
        </w:rPr>
      </w:pPr>
      <w:r w:rsidRPr="00895D78">
        <w:rPr>
          <w:rFonts w:cs="Times New Roman"/>
          <w:b/>
        </w:rPr>
        <w:t xml:space="preserve">4. Supportive and effective educational environments </w:t>
      </w:r>
      <w:r w:rsidR="00A35332">
        <w:rPr>
          <w:rFonts w:cs="Times New Roman"/>
          <w:b/>
        </w:rPr>
        <w:t>that attend</w:t>
      </w:r>
      <w:r w:rsidRPr="00895D78">
        <w:rPr>
          <w:rFonts w:cs="Times New Roman"/>
          <w:b/>
        </w:rPr>
        <w:t xml:space="preserve"> to social-emotional-behavioral development are vital for academic, occupational, and social success. </w:t>
      </w:r>
      <w:r w:rsidR="001E3785" w:rsidRPr="00895D78">
        <w:rPr>
          <w:rFonts w:cs="Times New Roman"/>
        </w:rPr>
        <w:t>E</w:t>
      </w:r>
      <w:r w:rsidRPr="00895D78">
        <w:rPr>
          <w:rFonts w:cs="Times New Roman"/>
        </w:rPr>
        <w:t xml:space="preserve">ducators and families both have major influence on children’s social and cognitive development. Establishing </w:t>
      </w:r>
      <w:r w:rsidRPr="00B53B58">
        <w:t>schools</w:t>
      </w:r>
      <w:r w:rsidRPr="00895D78">
        <w:rPr>
          <w:rFonts w:cs="Times New Roman"/>
        </w:rPr>
        <w:t xml:space="preserve"> as systems of care may be our best </w:t>
      </w:r>
      <w:r w:rsidR="00E0730C">
        <w:rPr>
          <w:rFonts w:cs="Times New Roman"/>
        </w:rPr>
        <w:t xml:space="preserve">strategy for </w:t>
      </w:r>
      <w:r w:rsidRPr="00895D78">
        <w:rPr>
          <w:rFonts w:cs="Times New Roman"/>
        </w:rPr>
        <w:t xml:space="preserve">early intervention and prevention of problems later in life. Education research over the past half century has identified a number of effective methods of teaching, but those instructional techniques have yet to become typical daily practice in schools. </w:t>
      </w:r>
    </w:p>
    <w:p w14:paraId="5964F906" w14:textId="24C444BB" w:rsidR="00DC3E89" w:rsidRPr="00895D78" w:rsidRDefault="00DC3E89" w:rsidP="00B53B58">
      <w:pPr>
        <w:spacing w:after="120" w:line="240" w:lineRule="auto"/>
        <w:rPr>
          <w:rFonts w:cs="Times New Roman"/>
        </w:rPr>
      </w:pPr>
      <w:r w:rsidRPr="00B53B58">
        <w:t>Academic</w:t>
      </w:r>
      <w:r w:rsidRPr="00895D78">
        <w:rPr>
          <w:rFonts w:cs="Times New Roman"/>
        </w:rPr>
        <w:t xml:space="preserve"> and social </w:t>
      </w:r>
      <w:r w:rsidR="001E3785" w:rsidRPr="00895D78">
        <w:rPr>
          <w:rFonts w:cs="Times New Roman"/>
        </w:rPr>
        <w:t>skills</w:t>
      </w:r>
      <w:r w:rsidRPr="00895D78">
        <w:rPr>
          <w:rFonts w:cs="Times New Roman"/>
        </w:rPr>
        <w:t xml:space="preserve"> are acquired rather than innate, and the behavioral sciences have a long history of contribution to improving academic learning. Direct teaching of social-emotional-behavioral skills in the context of educational environments that foster respectful, supportive relations among students, educators, and families is essential, and reinforces the impact of nurturing environments and overall well-being. </w:t>
      </w:r>
    </w:p>
    <w:p w14:paraId="6A95F126" w14:textId="069792FC" w:rsidR="00A33E21" w:rsidRPr="00895D78" w:rsidRDefault="00A33E21" w:rsidP="00B53B58">
      <w:pPr>
        <w:spacing w:after="120" w:line="240" w:lineRule="auto"/>
        <w:rPr>
          <w:rFonts w:cstheme="minorHAnsi"/>
          <w:b/>
        </w:rPr>
      </w:pPr>
      <w:r w:rsidRPr="00895D78">
        <w:rPr>
          <w:rFonts w:cstheme="minorHAnsi"/>
          <w:b/>
        </w:rPr>
        <w:t xml:space="preserve">5. Empirically supported strategies for health promotion and prevention can have a substantial impact on population-level health and wellness. </w:t>
      </w:r>
      <w:r w:rsidRPr="00895D78">
        <w:t xml:space="preserve">The United States has lower life expectancy than 25 </w:t>
      </w:r>
      <w:r w:rsidR="00E0730C">
        <w:t xml:space="preserve">other </w:t>
      </w:r>
      <w:r w:rsidRPr="00895D78">
        <w:t xml:space="preserve">developed countries, </w:t>
      </w:r>
      <w:r w:rsidR="00E0730C">
        <w:t>but</w:t>
      </w:r>
      <w:r w:rsidRPr="00895D78">
        <w:t xml:space="preserve"> the highest per capita </w:t>
      </w:r>
      <w:r w:rsidR="00E0730C" w:rsidRPr="00895D78">
        <w:t xml:space="preserve">healthcare </w:t>
      </w:r>
      <w:r w:rsidRPr="00895D78">
        <w:t>cost</w:t>
      </w:r>
      <w:r w:rsidR="00E0730C">
        <w:t>s</w:t>
      </w:r>
      <w:r w:rsidRPr="00895D78">
        <w:t xml:space="preserve"> of any developed country. Health behavior research has identified numerous effective methods for increasing health and preventing chronic illness. A</w:t>
      </w:r>
      <w:r w:rsidR="006001B4" w:rsidRPr="00895D78">
        <w:t xml:space="preserve"> greater investment in</w:t>
      </w:r>
      <w:r w:rsidRPr="00895D78">
        <w:t xml:space="preserve"> behavioral interventions to reduce conflict and coercion, prevent </w:t>
      </w:r>
      <w:r w:rsidR="00E0730C" w:rsidRPr="00895D78">
        <w:t>health</w:t>
      </w:r>
      <w:r w:rsidR="00E0730C">
        <w:t>-</w:t>
      </w:r>
      <w:r w:rsidRPr="00895D78">
        <w:t xml:space="preserve">compromising behavior, and promote healthy diets and physical activity </w:t>
      </w:r>
      <w:r w:rsidR="00895D78" w:rsidRPr="00895D78">
        <w:t xml:space="preserve">can </w:t>
      </w:r>
      <w:r w:rsidRPr="00895D78">
        <w:t xml:space="preserve">bring American health outcomes into line with </w:t>
      </w:r>
      <w:r w:rsidR="00E0730C">
        <w:t xml:space="preserve">those of </w:t>
      </w:r>
      <w:r w:rsidRPr="00895D78">
        <w:t>other developed countries.</w:t>
      </w:r>
    </w:p>
    <w:p w14:paraId="1551302D" w14:textId="3355E695" w:rsidR="00A33E21" w:rsidRPr="00895D78" w:rsidRDefault="00A33E21" w:rsidP="00B53B58">
      <w:pPr>
        <w:spacing w:after="120" w:line="240" w:lineRule="auto"/>
        <w:rPr>
          <w:rFonts w:cstheme="minorHAnsi"/>
          <w:b/>
        </w:rPr>
      </w:pPr>
      <w:r w:rsidRPr="00895D78">
        <w:rPr>
          <w:rFonts w:cstheme="minorHAnsi"/>
          <w:b/>
        </w:rPr>
        <w:t xml:space="preserve">6. Existing research on community-wide interventions and factors that support nurturing provides considerable guidance for advancing collective health and supporting stable, vibrant, and just communities. </w:t>
      </w:r>
      <w:r w:rsidRPr="00895D78">
        <w:t xml:space="preserve">As </w:t>
      </w:r>
      <w:r w:rsidR="001F18AF" w:rsidRPr="00895D78">
        <w:t xml:space="preserve">behavioral scientists </w:t>
      </w:r>
      <w:r w:rsidRPr="00895D78">
        <w:t>have learned more about how to enhance well</w:t>
      </w:r>
      <w:r w:rsidR="00C22F19" w:rsidRPr="00895D78">
        <w:t>-</w:t>
      </w:r>
      <w:r w:rsidRPr="00895D78">
        <w:t xml:space="preserve">being, </w:t>
      </w:r>
      <w:r w:rsidR="001F18AF" w:rsidRPr="00895D78">
        <w:t>they</w:t>
      </w:r>
      <w:r w:rsidR="001F18AF" w:rsidRPr="00895D78" w:rsidDel="001F18AF">
        <w:t xml:space="preserve"> </w:t>
      </w:r>
      <w:r w:rsidRPr="00895D78">
        <w:t xml:space="preserve">have begun to test community-wide interventions. </w:t>
      </w:r>
      <w:r w:rsidR="001F18AF">
        <w:t>Those</w:t>
      </w:r>
      <w:r w:rsidR="001F18AF" w:rsidRPr="00895D78">
        <w:t xml:space="preserve"> </w:t>
      </w:r>
      <w:r w:rsidRPr="00895D78">
        <w:t>targeting the nurturance of youth have demonstrated in randomized trials to have significant benefits in preventing tobacco use, drug use and abuse, high-risk sexual behavior, alcohol use and abuse, and substance use in general.</w:t>
      </w:r>
    </w:p>
    <w:p w14:paraId="502B9918" w14:textId="460D007C" w:rsidR="00A33E21" w:rsidRPr="00564B73" w:rsidRDefault="00A33E21" w:rsidP="00B53B58">
      <w:pPr>
        <w:spacing w:after="120" w:line="240" w:lineRule="auto"/>
      </w:pPr>
      <w:r w:rsidRPr="00895D78">
        <w:rPr>
          <w:rFonts w:cstheme="minorHAnsi"/>
          <w:b/>
        </w:rPr>
        <w:t xml:space="preserve">7. Implementation of science-based workplace interventions can offer </w:t>
      </w:r>
      <w:r w:rsidRPr="00895D78">
        <w:rPr>
          <w:b/>
        </w:rPr>
        <w:t xml:space="preserve">major contributions to work life and the effectiveness of organizations. </w:t>
      </w:r>
      <w:r w:rsidRPr="00895D78">
        <w:t>Behaviorally based approaches to increasing worker safety can produce significant reductions in accidents and injury. The</w:t>
      </w:r>
      <w:r w:rsidR="00895D78" w:rsidRPr="00895D78">
        <w:t>se approaches</w:t>
      </w:r>
      <w:r w:rsidRPr="00895D78">
        <w:t xml:space="preserve"> have also </w:t>
      </w:r>
      <w:r w:rsidR="001F18AF">
        <w:t>increased</w:t>
      </w:r>
      <w:r w:rsidRPr="00895D78">
        <w:t xml:space="preserve"> productivity and worker </w:t>
      </w:r>
      <w:r w:rsidRPr="00564B73">
        <w:t xml:space="preserve">satisfaction </w:t>
      </w:r>
      <w:r>
        <w:t>while</w:t>
      </w:r>
      <w:r w:rsidRPr="00564B73">
        <w:t xml:space="preserve"> reducing stres</w:t>
      </w:r>
      <w:r>
        <w:t>s</w:t>
      </w:r>
      <w:r w:rsidRPr="00564B73">
        <w:t xml:space="preserve">. There is also evidence of the value of </w:t>
      </w:r>
      <w:r>
        <w:t>behaviorally</w:t>
      </w:r>
      <w:r w:rsidR="00895D78">
        <w:t xml:space="preserve"> </w:t>
      </w:r>
      <w:r>
        <w:t xml:space="preserve">based </w:t>
      </w:r>
      <w:r w:rsidRPr="00564B73">
        <w:t xml:space="preserve">employee empowerment and autonomy in reducing turnover. In short, behavioral science is </w:t>
      </w:r>
      <w:r w:rsidR="00CE7041">
        <w:t xml:space="preserve">helping work organizations to become </w:t>
      </w:r>
      <w:r w:rsidRPr="00564B73">
        <w:t xml:space="preserve">more productive, safer, and less stressful. </w:t>
      </w:r>
    </w:p>
    <w:p w14:paraId="28DBFA45" w14:textId="3D086456" w:rsidR="00A33E21" w:rsidRPr="00457FCE" w:rsidRDefault="00A33E21" w:rsidP="00B53B58">
      <w:pPr>
        <w:spacing w:after="12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8</w:t>
      </w:r>
      <w:r w:rsidRPr="009959DF">
        <w:rPr>
          <w:rFonts w:cstheme="minorHAnsi"/>
          <w:b/>
          <w:color w:val="000000" w:themeColor="text1"/>
        </w:rPr>
        <w:t xml:space="preserve">. </w:t>
      </w:r>
      <w:r w:rsidRPr="009959DF">
        <w:rPr>
          <w:b/>
        </w:rPr>
        <w:t>Human well</w:t>
      </w:r>
      <w:r w:rsidR="00C22F19">
        <w:rPr>
          <w:b/>
        </w:rPr>
        <w:t>-</w:t>
      </w:r>
      <w:r w:rsidRPr="009959DF">
        <w:rPr>
          <w:b/>
        </w:rPr>
        <w:t>being depends on effective public policy</w:t>
      </w:r>
      <w:r>
        <w:rPr>
          <w:b/>
        </w:rPr>
        <w:t xml:space="preserve">. </w:t>
      </w:r>
      <w:r w:rsidR="00DF5011" w:rsidRPr="00DF5011">
        <w:t>Effective p</w:t>
      </w:r>
      <w:r w:rsidR="00DF04E6">
        <w:t>olic</w:t>
      </w:r>
      <w:r w:rsidR="00895D78">
        <w:t>i</w:t>
      </w:r>
      <w:r w:rsidR="00DF04E6">
        <w:t xml:space="preserve">es </w:t>
      </w:r>
      <w:r w:rsidR="00DF5011">
        <w:t>will</w:t>
      </w:r>
      <w:r w:rsidR="00DF04E6">
        <w:t xml:space="preserve"> support </w:t>
      </w:r>
      <w:r>
        <w:t xml:space="preserve">the development of health, well-being, justice, and sustainability, while reducing economic inequities. </w:t>
      </w:r>
      <w:r w:rsidR="00DF5011">
        <w:t xml:space="preserve">Considerable expansion of behavioral science </w:t>
      </w:r>
      <w:r w:rsidR="001F18AF">
        <w:t xml:space="preserve">approaches </w:t>
      </w:r>
      <w:r w:rsidR="00DF5011">
        <w:t>would help to shape</w:t>
      </w:r>
      <w:r>
        <w:t xml:space="preserve"> public policy in all of the</w:t>
      </w:r>
      <w:r w:rsidR="00CE7041">
        <w:t>se areas</w:t>
      </w:r>
      <w:r>
        <w:t xml:space="preserve">, especially </w:t>
      </w:r>
      <w:r w:rsidR="00DF5011">
        <w:t>with</w:t>
      </w:r>
      <w:r>
        <w:t xml:space="preserve"> effective collaboration among be</w:t>
      </w:r>
      <w:r w:rsidR="00DF5011">
        <w:t>havioral science organizations and</w:t>
      </w:r>
      <w:r>
        <w:t xml:space="preserve"> alliances with the physical and medical sciences.</w:t>
      </w:r>
      <w:r>
        <w:rPr>
          <w:rFonts w:cstheme="minorHAnsi"/>
          <w:b/>
          <w:color w:val="000000" w:themeColor="text1"/>
        </w:rPr>
        <w:t xml:space="preserve"> </w:t>
      </w:r>
    </w:p>
    <w:p w14:paraId="65F130DB" w14:textId="77777777" w:rsidR="0077353C" w:rsidRPr="00564B73" w:rsidRDefault="00623E8B" w:rsidP="00D12528">
      <w:pPr>
        <w:pStyle w:val="Heading3"/>
        <w:spacing w:before="240"/>
      </w:pPr>
      <w:r>
        <w:t xml:space="preserve">MOVING FORWARD </w:t>
      </w:r>
      <w:r w:rsidR="00023ECF">
        <w:t>THROUGH COLLABORATION</w:t>
      </w:r>
    </w:p>
    <w:p w14:paraId="2DD607E1" w14:textId="1500441F" w:rsidR="001F18AF" w:rsidRDefault="00843332" w:rsidP="00564B73">
      <w:pPr>
        <w:spacing w:after="120" w:line="240" w:lineRule="auto"/>
      </w:pPr>
      <w:r>
        <w:t>Increased investment</w:t>
      </w:r>
      <w:r w:rsidR="00BC6587">
        <w:t xml:space="preserve"> </w:t>
      </w:r>
      <w:r w:rsidR="00FC6852">
        <w:t xml:space="preserve">in </w:t>
      </w:r>
      <w:r w:rsidR="00BC6587">
        <w:t xml:space="preserve">research </w:t>
      </w:r>
      <w:r>
        <w:t xml:space="preserve">coupled with </w:t>
      </w:r>
      <w:r w:rsidR="00F544E2">
        <w:t xml:space="preserve">the </w:t>
      </w:r>
      <w:r>
        <w:t xml:space="preserve">translation </w:t>
      </w:r>
      <w:r w:rsidR="0003401F">
        <w:t>of</w:t>
      </w:r>
      <w:r>
        <w:t xml:space="preserve"> </w:t>
      </w:r>
      <w:r w:rsidR="00F544E2">
        <w:t xml:space="preserve">findings </w:t>
      </w:r>
      <w:r w:rsidR="00FC6852">
        <w:t>into</w:t>
      </w:r>
      <w:r>
        <w:t xml:space="preserve"> practice</w:t>
      </w:r>
      <w:r w:rsidR="00BC6587">
        <w:t xml:space="preserve"> across</w:t>
      </w:r>
      <w:r>
        <w:t xml:space="preserve"> all areas</w:t>
      </w:r>
      <w:r w:rsidR="0077353C" w:rsidRPr="00564B73">
        <w:t xml:space="preserve"> described </w:t>
      </w:r>
      <w:r w:rsidR="001F18AF">
        <w:t xml:space="preserve">so far </w:t>
      </w:r>
      <w:r w:rsidR="0077353C" w:rsidRPr="00564B73">
        <w:t xml:space="preserve">will amplify the </w:t>
      </w:r>
      <w:r w:rsidR="00BC6587">
        <w:t xml:space="preserve">impact of </w:t>
      </w:r>
      <w:r w:rsidR="0077353C" w:rsidRPr="00564B73">
        <w:t>behavioral science</w:t>
      </w:r>
      <w:r w:rsidR="00686FDA">
        <w:t xml:space="preserve"> on the betterment of society</w:t>
      </w:r>
      <w:r w:rsidR="001F18AF">
        <w:t>.</w:t>
      </w:r>
    </w:p>
    <w:p w14:paraId="00C9229A" w14:textId="227EF209" w:rsidR="0077353C" w:rsidRPr="00564B73" w:rsidRDefault="0035108E" w:rsidP="00FC70A5">
      <w:pPr>
        <w:spacing w:after="120" w:line="240" w:lineRule="auto"/>
      </w:pPr>
      <w:r>
        <w:t>In addition, t</w:t>
      </w:r>
      <w:r w:rsidR="000115B5">
        <w:t xml:space="preserve">here are </w:t>
      </w:r>
      <w:r>
        <w:t xml:space="preserve">other </w:t>
      </w:r>
      <w:r w:rsidR="00F544E2">
        <w:t>issues</w:t>
      </w:r>
      <w:r w:rsidR="00843332">
        <w:t xml:space="preserve"> to</w:t>
      </w:r>
      <w:r w:rsidR="000115B5">
        <w:t xml:space="preserve"> which it is logical to apply behavioral science. </w:t>
      </w:r>
      <w:r w:rsidR="00B66310">
        <w:t xml:space="preserve">The developing field of </w:t>
      </w:r>
      <w:r w:rsidR="00843332" w:rsidRPr="00B04406">
        <w:t>implementation</w:t>
      </w:r>
      <w:r w:rsidR="00B66310">
        <w:t xml:space="preserve"> science</w:t>
      </w:r>
      <w:r w:rsidR="000115B5" w:rsidRPr="00B04406">
        <w:t xml:space="preserve"> </w:t>
      </w:r>
      <w:r w:rsidR="00F544E2">
        <w:t xml:space="preserve">could prove useful, </w:t>
      </w:r>
      <w:r w:rsidR="00723966">
        <w:t>but it needs greater investment</w:t>
      </w:r>
      <w:r w:rsidR="00FC70A5">
        <w:t>.</w:t>
      </w:r>
    </w:p>
    <w:p w14:paraId="3E41F9B6" w14:textId="77777777" w:rsidR="0077353C" w:rsidRPr="00564B73" w:rsidRDefault="000115B5" w:rsidP="00AE3E3E">
      <w:pPr>
        <w:pStyle w:val="Heading3"/>
      </w:pPr>
      <w:r>
        <w:t>Advancing</w:t>
      </w:r>
      <w:r w:rsidR="0077353C" w:rsidRPr="00564B73">
        <w:t xml:space="preserve"> Behavioral Science Research</w:t>
      </w:r>
    </w:p>
    <w:p w14:paraId="0415A3A5" w14:textId="6C44FB66" w:rsidR="0077353C" w:rsidRPr="00C304E3" w:rsidRDefault="00723966" w:rsidP="00564B73">
      <w:pPr>
        <w:spacing w:after="120" w:line="240" w:lineRule="auto"/>
      </w:pPr>
      <w:r>
        <w:t>T</w:t>
      </w:r>
      <w:r w:rsidR="0077353C" w:rsidRPr="00564B73">
        <w:t xml:space="preserve">he organizations </w:t>
      </w:r>
      <w:r>
        <w:t>that make up</w:t>
      </w:r>
      <w:r w:rsidR="0077353C" w:rsidRPr="00564B73">
        <w:t xml:space="preserve"> this coalition have the </w:t>
      </w:r>
      <w:r>
        <w:t>c</w:t>
      </w:r>
      <w:r w:rsidRPr="00564B73">
        <w:t>ollective</w:t>
      </w:r>
      <w:r>
        <w:t xml:space="preserve"> </w:t>
      </w:r>
      <w:r w:rsidR="0077353C" w:rsidRPr="00564B73">
        <w:t xml:space="preserve">knowledge and skills needed to </w:t>
      </w:r>
      <w:r w:rsidR="00DF5011">
        <w:t>benefit</w:t>
      </w:r>
      <w:r w:rsidR="0077353C" w:rsidRPr="00564B73">
        <w:t xml:space="preserve"> society</w:t>
      </w:r>
      <w:r w:rsidR="00DF5011">
        <w:t xml:space="preserve"> significantly</w:t>
      </w:r>
      <w:r w:rsidR="0077353C" w:rsidRPr="00564B73">
        <w:t xml:space="preserve">. However, there is no reason to believe that policymakers and </w:t>
      </w:r>
      <w:r w:rsidRPr="00564B73">
        <w:t>highe</w:t>
      </w:r>
      <w:r>
        <w:t xml:space="preserve">r education </w:t>
      </w:r>
      <w:r w:rsidR="0012580D">
        <w:t xml:space="preserve">leaders </w:t>
      </w:r>
      <w:r w:rsidR="0077353C" w:rsidRPr="00564B73">
        <w:t>will</w:t>
      </w:r>
      <w:r w:rsidR="00C31F28">
        <w:t xml:space="preserve"> </w:t>
      </w:r>
      <w:r w:rsidR="00E3733C">
        <w:t xml:space="preserve">increase investment to the degree </w:t>
      </w:r>
      <w:r w:rsidR="008E252B">
        <w:t xml:space="preserve">needed </w:t>
      </w:r>
      <w:r w:rsidR="00E3733C">
        <w:t xml:space="preserve">without </w:t>
      </w:r>
      <w:r>
        <w:t xml:space="preserve">more </w:t>
      </w:r>
      <w:r w:rsidR="0012580D">
        <w:t xml:space="preserve">public </w:t>
      </w:r>
      <w:r w:rsidR="00E3733C">
        <w:t xml:space="preserve">awareness and support. </w:t>
      </w:r>
      <w:r w:rsidR="001C1A0E">
        <w:t>It is</w:t>
      </w:r>
      <w:r w:rsidR="004353B7">
        <w:t xml:space="preserve"> </w:t>
      </w:r>
      <w:r w:rsidR="00216CD7">
        <w:t xml:space="preserve">thus </w:t>
      </w:r>
      <w:r w:rsidR="004353B7">
        <w:t>crit</w:t>
      </w:r>
      <w:r w:rsidR="00216CD7">
        <w:t>ical</w:t>
      </w:r>
      <w:r w:rsidR="001C1A0E">
        <w:t xml:space="preserve"> to</w:t>
      </w:r>
      <w:r w:rsidR="004353B7">
        <w:t xml:space="preserve"> develop a strategic plan for educating</w:t>
      </w:r>
      <w:r w:rsidR="001C1A0E">
        <w:t xml:space="preserve"> </w:t>
      </w:r>
      <w:r w:rsidR="00E3733C">
        <w:t>citizen</w:t>
      </w:r>
      <w:r>
        <w:t>s</w:t>
      </w:r>
      <w:r w:rsidR="00E3733C">
        <w:t xml:space="preserve"> and </w:t>
      </w:r>
      <w:r w:rsidR="001C1A0E">
        <w:t xml:space="preserve">policymakers </w:t>
      </w:r>
      <w:r w:rsidR="00F544E2" w:rsidRPr="00C304E3">
        <w:t xml:space="preserve">about </w:t>
      </w:r>
      <w:r w:rsidR="00216CD7" w:rsidRPr="00C304E3">
        <w:t>the</w:t>
      </w:r>
      <w:r w:rsidR="00F544E2" w:rsidRPr="00C304E3">
        <w:t xml:space="preserve"> effectiveness</w:t>
      </w:r>
      <w:r w:rsidR="00216CD7" w:rsidRPr="00C304E3">
        <w:t xml:space="preserve"> of the behavioral sciences</w:t>
      </w:r>
      <w:r w:rsidR="00F544E2" w:rsidRPr="00C304E3">
        <w:t xml:space="preserve"> in </w:t>
      </w:r>
      <w:r w:rsidR="001C1A0E" w:rsidRPr="00C304E3">
        <w:t>address</w:t>
      </w:r>
      <w:r w:rsidR="00F544E2" w:rsidRPr="00C304E3">
        <w:t>ing</w:t>
      </w:r>
      <w:r w:rsidR="001C1A0E" w:rsidRPr="00C304E3">
        <w:t xml:space="preserve"> societal </w:t>
      </w:r>
      <w:r w:rsidR="004353B7" w:rsidRPr="00C304E3">
        <w:t>problems</w:t>
      </w:r>
      <w:r w:rsidR="001C1A0E" w:rsidRPr="00C304E3">
        <w:t xml:space="preserve">. </w:t>
      </w:r>
    </w:p>
    <w:p w14:paraId="4D33B354" w14:textId="2C54255D" w:rsidR="0077353C" w:rsidRPr="00564B73" w:rsidRDefault="00216CD7" w:rsidP="00564B73">
      <w:pPr>
        <w:spacing w:after="120" w:line="240" w:lineRule="auto"/>
      </w:pPr>
      <w:r w:rsidRPr="00C304E3">
        <w:t>We</w:t>
      </w:r>
      <w:r w:rsidR="0077353C" w:rsidRPr="00C304E3">
        <w:t xml:space="preserve"> must </w:t>
      </w:r>
      <w:r w:rsidRPr="00C304E3">
        <w:t xml:space="preserve">also </w:t>
      </w:r>
      <w:r w:rsidR="004353B7" w:rsidRPr="00C304E3">
        <w:t xml:space="preserve">encourage and </w:t>
      </w:r>
      <w:r w:rsidR="0077353C" w:rsidRPr="00C304E3">
        <w:t xml:space="preserve">support new initiatives to advance </w:t>
      </w:r>
      <w:r w:rsidR="00C31F28" w:rsidRPr="00C304E3">
        <w:t xml:space="preserve">behavioral </w:t>
      </w:r>
      <w:r w:rsidR="0077353C" w:rsidRPr="00C304E3">
        <w:t>research and practice in critical areas. Each of the challenges enu</w:t>
      </w:r>
      <w:r w:rsidR="00E3733C" w:rsidRPr="00C304E3">
        <w:t>merated in the previous sections merit</w:t>
      </w:r>
      <w:r w:rsidR="0012580D" w:rsidRPr="00C304E3">
        <w:t>s</w:t>
      </w:r>
      <w:r w:rsidR="0077353C" w:rsidRPr="00C304E3">
        <w:t xml:space="preserve"> the creation of multiple interdisc</w:t>
      </w:r>
      <w:r w:rsidR="00C31F28" w:rsidRPr="00C304E3">
        <w:t xml:space="preserve">iplinary programs of </w:t>
      </w:r>
      <w:r w:rsidR="003D6702" w:rsidRPr="00C304E3">
        <w:t xml:space="preserve">study </w:t>
      </w:r>
      <w:r w:rsidR="00C31F28" w:rsidRPr="00C304E3">
        <w:t>across</w:t>
      </w:r>
      <w:r w:rsidR="0077353C" w:rsidRPr="00C304E3">
        <w:t xml:space="preserve"> universities and research centers. Our </w:t>
      </w:r>
      <w:r w:rsidR="00023ECF" w:rsidRPr="00C304E3">
        <w:t>coalition</w:t>
      </w:r>
      <w:r w:rsidR="0077353C" w:rsidRPr="00C304E3">
        <w:t xml:space="preserve"> </w:t>
      </w:r>
      <w:r w:rsidR="004A78EE" w:rsidRPr="00C304E3">
        <w:t xml:space="preserve">could </w:t>
      </w:r>
      <w:r w:rsidR="0077353C" w:rsidRPr="00C304E3">
        <w:t xml:space="preserve">convene committees composed of experts in various </w:t>
      </w:r>
      <w:r w:rsidR="00C31F28" w:rsidRPr="00C304E3">
        <w:t xml:space="preserve">disciplines </w:t>
      </w:r>
      <w:r w:rsidR="0077353C" w:rsidRPr="00C304E3">
        <w:t xml:space="preserve">to define major lines of </w:t>
      </w:r>
      <w:r w:rsidR="00C31F28" w:rsidRPr="00C304E3">
        <w:t xml:space="preserve">research. </w:t>
      </w:r>
      <w:r w:rsidR="0077353C" w:rsidRPr="00C304E3">
        <w:t xml:space="preserve">For example, with respect to climate change, few experimental evaluations have </w:t>
      </w:r>
      <w:r w:rsidR="0012580D" w:rsidRPr="00C304E3">
        <w:t xml:space="preserve">focused on </w:t>
      </w:r>
      <w:r w:rsidR="0077353C" w:rsidRPr="00C304E3">
        <w:t>strategies for implementing effective polic</w:t>
      </w:r>
      <w:r w:rsidR="0012580D" w:rsidRPr="00C304E3">
        <w:t>y</w:t>
      </w:r>
      <w:r w:rsidR="0077353C" w:rsidRPr="00C304E3">
        <w:t>. Our collaboration could assemble credible experts to help define the needed research. We could work</w:t>
      </w:r>
      <w:r w:rsidR="0077353C" w:rsidRPr="00564B73">
        <w:t xml:space="preserve"> with founda</w:t>
      </w:r>
      <w:r w:rsidR="00C31F28">
        <w:t xml:space="preserve">tions, government agencies, and philanthropists to establish </w:t>
      </w:r>
      <w:r w:rsidR="0077353C" w:rsidRPr="00564B73">
        <w:t xml:space="preserve">research and graduate </w:t>
      </w:r>
      <w:r w:rsidR="0012580D" w:rsidRPr="00564B73">
        <w:t xml:space="preserve">training programs </w:t>
      </w:r>
      <w:r w:rsidR="0077353C" w:rsidRPr="00564B73">
        <w:t xml:space="preserve">focused on developing and experimentally evaluating strategies </w:t>
      </w:r>
      <w:r>
        <w:t>to</w:t>
      </w:r>
      <w:r w:rsidR="0077353C" w:rsidRPr="00564B73">
        <w:t xml:space="preserve"> advance policy that cha</w:t>
      </w:r>
      <w:r w:rsidR="00C31F28">
        <w:t>nge</w:t>
      </w:r>
      <w:r w:rsidR="00E3733C">
        <w:t>s climate-relevant behavior. This</w:t>
      </w:r>
      <w:r w:rsidR="00C31F28">
        <w:t xml:space="preserve"> same approach</w:t>
      </w:r>
      <w:r w:rsidR="0077353C" w:rsidRPr="00564B73">
        <w:t xml:space="preserve"> could work in each of the areas the </w:t>
      </w:r>
      <w:r w:rsidR="00AE3E3E">
        <w:t>coalition</w:t>
      </w:r>
      <w:r w:rsidR="00F27E75" w:rsidRPr="00564B73">
        <w:t xml:space="preserve"> </w:t>
      </w:r>
      <w:r w:rsidR="0012580D">
        <w:t xml:space="preserve">has identified as </w:t>
      </w:r>
      <w:r w:rsidR="0077353C" w:rsidRPr="00564B73">
        <w:t>need</w:t>
      </w:r>
      <w:r w:rsidR="0012580D">
        <w:t>ing</w:t>
      </w:r>
      <w:r w:rsidR="0077353C" w:rsidRPr="00564B73">
        <w:t xml:space="preserve"> </w:t>
      </w:r>
      <w:r w:rsidR="008E252B">
        <w:t xml:space="preserve">expanded </w:t>
      </w:r>
      <w:r w:rsidR="0012580D">
        <w:t>attention</w:t>
      </w:r>
      <w:r w:rsidR="0077353C" w:rsidRPr="00564B73">
        <w:t>.</w:t>
      </w:r>
    </w:p>
    <w:p w14:paraId="537374CE" w14:textId="77777777" w:rsidR="0077353C" w:rsidRPr="00564B73" w:rsidRDefault="00C321A9" w:rsidP="00AE3E3E">
      <w:pPr>
        <w:pStyle w:val="Heading3"/>
      </w:pPr>
      <w:r>
        <w:t xml:space="preserve">Developing and Mentoring </w:t>
      </w:r>
      <w:r w:rsidR="0077353C" w:rsidRPr="00564B73">
        <w:t>a New Generation of Behavioral Scientists</w:t>
      </w:r>
    </w:p>
    <w:p w14:paraId="0F54F421" w14:textId="17002A79" w:rsidR="0077353C" w:rsidRPr="00564B73" w:rsidRDefault="008E252B" w:rsidP="00564B73">
      <w:pPr>
        <w:spacing w:after="120" w:line="240" w:lineRule="auto"/>
      </w:pPr>
      <w:r w:rsidRPr="00C304E3">
        <w:t xml:space="preserve">We must make major advances in the </w:t>
      </w:r>
      <w:r w:rsidR="0012580D" w:rsidRPr="00C304E3">
        <w:t xml:space="preserve">scope </w:t>
      </w:r>
      <w:r w:rsidR="0077353C" w:rsidRPr="00C304E3">
        <w:t>and n</w:t>
      </w:r>
      <w:r w:rsidRPr="00C304E3">
        <w:t xml:space="preserve">ature of behavioral science </w:t>
      </w:r>
      <w:r w:rsidR="0077353C" w:rsidRPr="00C304E3">
        <w:t>training. As knowledge increases across a multitude of disciplines</w:t>
      </w:r>
      <w:r w:rsidR="00156332" w:rsidRPr="00C304E3">
        <w:t>,</w:t>
      </w:r>
      <w:r w:rsidR="0077353C" w:rsidRPr="00C304E3">
        <w:t xml:space="preserve"> </w:t>
      </w:r>
      <w:r w:rsidR="0012580D" w:rsidRPr="00C304E3">
        <w:t xml:space="preserve">training and research </w:t>
      </w:r>
      <w:r w:rsidR="0077353C" w:rsidRPr="00C304E3">
        <w:t>organization</w:t>
      </w:r>
      <w:r w:rsidR="0012580D" w:rsidRPr="00C304E3">
        <w:t>s</w:t>
      </w:r>
      <w:r w:rsidR="0077353C" w:rsidRPr="00C304E3">
        <w:t xml:space="preserve"> </w:t>
      </w:r>
      <w:r w:rsidR="00156332" w:rsidRPr="00C304E3">
        <w:t>need to</w:t>
      </w:r>
      <w:r w:rsidR="0012580D" w:rsidRPr="00C304E3">
        <w:t xml:space="preserve"> evolve</w:t>
      </w:r>
      <w:r w:rsidR="0077353C" w:rsidRPr="00C304E3">
        <w:t>. We need interdisciplinary programs that integrate basic and applied work in neuroscience, genetics, epigenetics</w:t>
      </w:r>
      <w:r w:rsidR="0077353C" w:rsidRPr="00564B73">
        <w:t>, epidemiology, public health, treatment, prevention, policy analysis, and implemen</w:t>
      </w:r>
      <w:r>
        <w:t>tation science. These programs sh</w:t>
      </w:r>
      <w:r w:rsidR="0077353C" w:rsidRPr="00564B73">
        <w:t>ould train doctoral</w:t>
      </w:r>
      <w:r w:rsidR="00156332">
        <w:t xml:space="preserve">- </w:t>
      </w:r>
      <w:r w:rsidR="0077353C" w:rsidRPr="00564B73">
        <w:t xml:space="preserve">and </w:t>
      </w:r>
      <w:r w:rsidR="00156332" w:rsidRPr="00564B73">
        <w:t>master’s</w:t>
      </w:r>
      <w:r w:rsidR="00156332">
        <w:t>-</w:t>
      </w:r>
      <w:r w:rsidR="0077353C" w:rsidRPr="00564B73">
        <w:t xml:space="preserve">level </w:t>
      </w:r>
      <w:r w:rsidR="00156332">
        <w:t xml:space="preserve">scientists and </w:t>
      </w:r>
      <w:r w:rsidR="00C321A9">
        <w:t xml:space="preserve">professionals to implement new approaches. </w:t>
      </w:r>
      <w:r w:rsidR="00156332">
        <w:t>Outcome m</w:t>
      </w:r>
      <w:r w:rsidR="00E4643E">
        <w:t xml:space="preserve">easures </w:t>
      </w:r>
      <w:r w:rsidR="00C321A9">
        <w:t>c</w:t>
      </w:r>
      <w:r w:rsidR="0077353C" w:rsidRPr="00564B73">
        <w:t>ould include (a)</w:t>
      </w:r>
      <w:r w:rsidR="00894898">
        <w:t xml:space="preserve"> increases in</w:t>
      </w:r>
      <w:r w:rsidR="0077353C" w:rsidRPr="00564B73">
        <w:t xml:space="preserve"> the number of well-trained personnel integrating</w:t>
      </w:r>
      <w:r w:rsidR="00C321A9">
        <w:t xml:space="preserve"> behavioral science</w:t>
      </w:r>
      <w:r w:rsidR="0077353C" w:rsidRPr="00564B73">
        <w:t xml:space="preserve"> research and practice; (b) </w:t>
      </w:r>
      <w:r w:rsidR="00894898">
        <w:t xml:space="preserve">increases in </w:t>
      </w:r>
      <w:r w:rsidR="0077353C" w:rsidRPr="00564B73">
        <w:t xml:space="preserve">the number of families, schools, communities, and states </w:t>
      </w:r>
      <w:r w:rsidR="00156332">
        <w:t xml:space="preserve">reached by </w:t>
      </w:r>
      <w:r w:rsidR="00216CD7">
        <w:t>effective practices</w:t>
      </w:r>
      <w:r w:rsidR="0077353C" w:rsidRPr="00564B73">
        <w:t>; and (c) changes in the incidence and prevalence of psychological, behavioral, and physical disorders</w:t>
      </w:r>
      <w:r w:rsidR="00C321A9">
        <w:t xml:space="preserve"> </w:t>
      </w:r>
      <w:r w:rsidR="00216CD7">
        <w:t>and</w:t>
      </w:r>
      <w:r w:rsidR="00C321A9">
        <w:t xml:space="preserve"> prosocial behavior.</w:t>
      </w:r>
    </w:p>
    <w:p w14:paraId="4926620A" w14:textId="773B71A6" w:rsidR="0077353C" w:rsidRPr="00564B73" w:rsidRDefault="00156332" w:rsidP="00564B73">
      <w:pPr>
        <w:spacing w:after="120" w:line="240" w:lineRule="auto"/>
      </w:pPr>
      <w:r>
        <w:t>T</w:t>
      </w:r>
      <w:r w:rsidR="00C321A9">
        <w:t xml:space="preserve">his coalition </w:t>
      </w:r>
      <w:r w:rsidR="0077353C" w:rsidRPr="00564B73">
        <w:t xml:space="preserve">could advance </w:t>
      </w:r>
      <w:r>
        <w:t>such an</w:t>
      </w:r>
      <w:r w:rsidRPr="00564B73">
        <w:t xml:space="preserve"> </w:t>
      </w:r>
      <w:r w:rsidR="0077353C" w:rsidRPr="00564B73">
        <w:t>agenda by creating a task force of members</w:t>
      </w:r>
      <w:r>
        <w:t xml:space="preserve"> of</w:t>
      </w:r>
      <w:r w:rsidR="0077353C" w:rsidRPr="00564B73">
        <w:t xml:space="preserve"> each participating organization. The task force would articulate a vision for new traini</w:t>
      </w:r>
      <w:r w:rsidR="00C321A9">
        <w:t xml:space="preserve">ng programs </w:t>
      </w:r>
      <w:r w:rsidR="00894898">
        <w:t xml:space="preserve">and </w:t>
      </w:r>
      <w:r>
        <w:t xml:space="preserve">also </w:t>
      </w:r>
      <w:r w:rsidR="0077353C" w:rsidRPr="00564B73">
        <w:t xml:space="preserve">seek funding for </w:t>
      </w:r>
      <w:r>
        <w:t>them</w:t>
      </w:r>
      <w:r w:rsidR="00C321A9">
        <w:t xml:space="preserve"> from foundations and philanthropic</w:t>
      </w:r>
      <w:r w:rsidR="00894898">
        <w:t xml:space="preserve"> donors while encouraging engagement </w:t>
      </w:r>
      <w:r w:rsidR="0077353C" w:rsidRPr="00564B73">
        <w:t>from institutes of higher learning.</w:t>
      </w:r>
    </w:p>
    <w:p w14:paraId="608C017B" w14:textId="77777777" w:rsidR="0077353C" w:rsidRPr="00564B73" w:rsidRDefault="008261CF" w:rsidP="00AE3E3E">
      <w:pPr>
        <w:pStyle w:val="Heading3"/>
      </w:pPr>
      <w:r>
        <w:t>Advocating</w:t>
      </w:r>
      <w:r w:rsidR="0077353C" w:rsidRPr="00DF21E4">
        <w:t xml:space="preserve"> f</w:t>
      </w:r>
      <w:r w:rsidR="0077353C" w:rsidRPr="00564B73">
        <w:t>or Behavioral Science</w:t>
      </w:r>
    </w:p>
    <w:p w14:paraId="082D656F" w14:textId="2E47BED9" w:rsidR="0077353C" w:rsidRPr="00564B73" w:rsidRDefault="0077353C" w:rsidP="00564B73">
      <w:pPr>
        <w:spacing w:after="120" w:line="240" w:lineRule="auto"/>
      </w:pPr>
      <w:r w:rsidRPr="00564B73">
        <w:t xml:space="preserve">Each of our organizations </w:t>
      </w:r>
      <w:r w:rsidR="00F27E75">
        <w:t>ha</w:t>
      </w:r>
      <w:r w:rsidR="00463422">
        <w:t>s</w:t>
      </w:r>
      <w:r w:rsidR="00F27E75" w:rsidRPr="00564B73">
        <w:t xml:space="preserve"> </w:t>
      </w:r>
      <w:r w:rsidRPr="00564B73">
        <w:t>experience in advocating for beha</w:t>
      </w:r>
      <w:r w:rsidR="001B160F">
        <w:t>vioral science. For example, t</w:t>
      </w:r>
      <w:r w:rsidR="00216CD7">
        <w:t>he</w:t>
      </w:r>
      <w:r w:rsidRPr="00564B73">
        <w:t xml:space="preserve"> Society for Behavioral Medicine has created a system of briefing papers that facilitate behavioral health specialists’ communication with policymakers in ways that </w:t>
      </w:r>
      <w:r w:rsidR="00156332">
        <w:t xml:space="preserve">allow </w:t>
      </w:r>
      <w:r w:rsidRPr="00564B73">
        <w:t xml:space="preserve">behavioral science findings </w:t>
      </w:r>
      <w:r w:rsidR="00156332">
        <w:t>to</w:t>
      </w:r>
      <w:r w:rsidRPr="00564B73">
        <w:t xml:space="preserve"> enhance health (</w:t>
      </w:r>
      <w:r w:rsidRPr="00B66310">
        <w:rPr>
          <w:color w:val="000000" w:themeColor="text1"/>
        </w:rPr>
        <w:t>Bus</w:t>
      </w:r>
      <w:r w:rsidR="008261CF" w:rsidRPr="00B66310">
        <w:rPr>
          <w:color w:val="000000" w:themeColor="text1"/>
        </w:rPr>
        <w:t xml:space="preserve">cemi </w:t>
      </w:r>
      <w:r w:rsidR="008261CF">
        <w:t>et al., 2017). Together, this coalition has the potential to</w:t>
      </w:r>
      <w:r w:rsidRPr="00564B73">
        <w:t xml:space="preserve"> amplify our skills, reach, and impact.</w:t>
      </w:r>
      <w:r w:rsidR="00156332">
        <w:t xml:space="preserve"> </w:t>
      </w:r>
      <w:r w:rsidRPr="00564B73">
        <w:t xml:space="preserve">To do that we will: </w:t>
      </w:r>
    </w:p>
    <w:p w14:paraId="50991AE1" w14:textId="705A6AF5" w:rsidR="0077353C" w:rsidRPr="00564B73" w:rsidRDefault="0077353C" w:rsidP="00564B73">
      <w:pPr>
        <w:pStyle w:val="ListParagraph"/>
        <w:numPr>
          <w:ilvl w:val="0"/>
          <w:numId w:val="9"/>
        </w:numPr>
        <w:spacing w:after="120" w:line="240" w:lineRule="auto"/>
      </w:pPr>
      <w:r w:rsidRPr="00564B73">
        <w:t xml:space="preserve">Promote </w:t>
      </w:r>
      <w:r w:rsidR="00156332">
        <w:t>one an</w:t>
      </w:r>
      <w:r w:rsidR="00F27E75" w:rsidRPr="00564B73">
        <w:t>other’s</w:t>
      </w:r>
      <w:r w:rsidRPr="00564B73">
        <w:t xml:space="preserve"> scientific communications efforts. Whenever any </w:t>
      </w:r>
      <w:r w:rsidR="00D12528">
        <w:t xml:space="preserve">one </w:t>
      </w:r>
      <w:r w:rsidRPr="00564B73">
        <w:t>of our organizations issues a communication designed to promote behavioral science research or practice, the other organizations can forward it to their members. As our skill in reaching the public grows, this interorganizational amplification wil</w:t>
      </w:r>
      <w:r w:rsidR="00216CD7">
        <w:t>l also grow in value and impact</w:t>
      </w:r>
      <w:r w:rsidR="00C2254E">
        <w:t>.</w:t>
      </w:r>
      <w:r w:rsidRPr="00564B73">
        <w:t xml:space="preserve"> </w:t>
      </w:r>
    </w:p>
    <w:p w14:paraId="1CA9157D" w14:textId="594B05A9" w:rsidR="0077353C" w:rsidRPr="00564B73" w:rsidRDefault="0077353C" w:rsidP="00564B73">
      <w:pPr>
        <w:pStyle w:val="ListParagraph"/>
        <w:numPr>
          <w:ilvl w:val="0"/>
          <w:numId w:val="9"/>
        </w:numPr>
        <w:spacing w:after="120" w:line="240" w:lineRule="auto"/>
      </w:pPr>
      <w:r w:rsidRPr="00564B73">
        <w:t>Collaborate in creating policy briefs/white papers about effective interventions and other issues germane to human well</w:t>
      </w:r>
      <w:r w:rsidR="00C22F19">
        <w:t>-</w:t>
      </w:r>
      <w:r w:rsidRPr="00564B73">
        <w:t>being</w:t>
      </w:r>
      <w:r w:rsidR="00C2254E">
        <w:t>.</w:t>
      </w:r>
      <w:r w:rsidRPr="00564B73">
        <w:t xml:space="preserve"> </w:t>
      </w:r>
    </w:p>
    <w:p w14:paraId="1DAA1788" w14:textId="6AE973DC" w:rsidR="0077353C" w:rsidRPr="00564B73" w:rsidRDefault="0077353C" w:rsidP="00564B73">
      <w:pPr>
        <w:pStyle w:val="ListParagraph"/>
        <w:numPr>
          <w:ilvl w:val="0"/>
          <w:numId w:val="9"/>
        </w:numPr>
        <w:spacing w:after="120" w:line="240" w:lineRule="auto"/>
      </w:pPr>
      <w:r w:rsidRPr="00564B73">
        <w:t xml:space="preserve">Create task forces of members </w:t>
      </w:r>
      <w:r w:rsidR="00C2254E">
        <w:t xml:space="preserve">of </w:t>
      </w:r>
      <w:r w:rsidRPr="00564B73">
        <w:t xml:space="preserve">our organizations </w:t>
      </w:r>
      <w:r w:rsidR="00216CD7">
        <w:t>to</w:t>
      </w:r>
      <w:r w:rsidRPr="00564B73">
        <w:t xml:space="preserve"> articulate comprehensive approaches to problems</w:t>
      </w:r>
      <w:r w:rsidR="00D12528">
        <w:t>; these approaches will</w:t>
      </w:r>
      <w:r w:rsidRPr="00564B73">
        <w:t xml:space="preserve"> draw on the expertise of each organization. The focus of such task forces might include: </w:t>
      </w:r>
    </w:p>
    <w:p w14:paraId="21557BF3" w14:textId="4C64E354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>Ways of addressing important social problems as determined through our collective knowledge</w:t>
      </w:r>
      <w:r w:rsidR="00C2254E">
        <w:t>.</w:t>
      </w:r>
    </w:p>
    <w:p w14:paraId="6780CDF3" w14:textId="5571E688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>New programs of necessary research</w:t>
      </w:r>
      <w:r w:rsidR="00C2254E">
        <w:t>.</w:t>
      </w:r>
    </w:p>
    <w:p w14:paraId="5369D7B7" w14:textId="190EB4DD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>New desired training programs</w:t>
      </w:r>
      <w:r w:rsidR="00C2254E">
        <w:t>.</w:t>
      </w:r>
    </w:p>
    <w:p w14:paraId="1E856BA9" w14:textId="77777777" w:rsidR="0077353C" w:rsidRPr="00564B73" w:rsidRDefault="008261CF" w:rsidP="00564B73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Organize jointly sponsored interdisciplinary events (e.g., conferences) </w:t>
      </w:r>
      <w:r w:rsidR="0077353C" w:rsidRPr="00564B73">
        <w:t>on issues of significance to society. Examples might include:</w:t>
      </w:r>
    </w:p>
    <w:p w14:paraId="7F80069C" w14:textId="58558948" w:rsidR="0077353C" w:rsidRPr="00564B73" w:rsidRDefault="0056089F" w:rsidP="00564B73">
      <w:pPr>
        <w:pStyle w:val="ListParagraph"/>
        <w:numPr>
          <w:ilvl w:val="1"/>
          <w:numId w:val="9"/>
        </w:numPr>
        <w:spacing w:after="120" w:line="240" w:lineRule="auto"/>
      </w:pPr>
      <w:r>
        <w:t xml:space="preserve">The </w:t>
      </w:r>
      <w:r w:rsidR="00D12528">
        <w:t>opioid c</w:t>
      </w:r>
      <w:r w:rsidR="00D12528" w:rsidRPr="00564B73">
        <w:t>risis</w:t>
      </w:r>
    </w:p>
    <w:p w14:paraId="6D8A952A" w14:textId="77777777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>Climate change</w:t>
      </w:r>
    </w:p>
    <w:p w14:paraId="78896E41" w14:textId="77777777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>Prejudice</w:t>
      </w:r>
    </w:p>
    <w:p w14:paraId="4B57B983" w14:textId="77777777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>Poverty</w:t>
      </w:r>
    </w:p>
    <w:p w14:paraId="7F74A0D7" w14:textId="77777777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>Universal screening for early intervention</w:t>
      </w:r>
    </w:p>
    <w:p w14:paraId="384B5889" w14:textId="643D322A" w:rsidR="0077353C" w:rsidRPr="00564B73" w:rsidRDefault="0077353C" w:rsidP="00564B73">
      <w:pPr>
        <w:pStyle w:val="ListParagraph"/>
        <w:numPr>
          <w:ilvl w:val="0"/>
          <w:numId w:val="9"/>
        </w:numPr>
        <w:spacing w:after="120" w:line="240" w:lineRule="auto"/>
      </w:pPr>
      <w:r w:rsidRPr="00564B73">
        <w:t>Cultivate support from foundations for initiatives to advance the use of behavioral</w:t>
      </w:r>
      <w:r w:rsidR="008261CF">
        <w:t xml:space="preserve"> science knowledge and methods to address societal needs</w:t>
      </w:r>
      <w:r w:rsidR="00C2254E">
        <w:t>.</w:t>
      </w:r>
      <w:r w:rsidR="008261CF">
        <w:t xml:space="preserve"> </w:t>
      </w:r>
    </w:p>
    <w:p w14:paraId="3D904022" w14:textId="77777777" w:rsidR="0077353C" w:rsidRPr="00564B73" w:rsidRDefault="0077353C" w:rsidP="00564B73">
      <w:pPr>
        <w:pStyle w:val="ListParagraph"/>
        <w:numPr>
          <w:ilvl w:val="0"/>
          <w:numId w:val="9"/>
        </w:numPr>
        <w:spacing w:after="120" w:line="240" w:lineRule="auto"/>
      </w:pPr>
      <w:r w:rsidRPr="00564B73">
        <w:t>Extend the network of collaborators</w:t>
      </w:r>
      <w:r w:rsidR="00EC1322">
        <w:t xml:space="preserve"> within the coalition</w:t>
      </w:r>
      <w:r w:rsidRPr="00564B73">
        <w:t xml:space="preserve"> beyond the present group in order to</w:t>
      </w:r>
      <w:r w:rsidR="0056089F">
        <w:t>:</w:t>
      </w:r>
      <w:r w:rsidRPr="00564B73">
        <w:t xml:space="preserve"> </w:t>
      </w:r>
    </w:p>
    <w:p w14:paraId="61F93350" w14:textId="78DDDF39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 xml:space="preserve">Increase </w:t>
      </w:r>
      <w:r w:rsidR="00C2254E">
        <w:t>our</w:t>
      </w:r>
      <w:r w:rsidR="00C2254E" w:rsidRPr="00564B73">
        <w:t xml:space="preserve"> </w:t>
      </w:r>
      <w:r w:rsidRPr="00564B73">
        <w:t>influence</w:t>
      </w:r>
      <w:r w:rsidR="00C2254E">
        <w:t>.</w:t>
      </w:r>
      <w:r w:rsidRPr="00564B73">
        <w:t xml:space="preserve"> </w:t>
      </w:r>
    </w:p>
    <w:p w14:paraId="30327189" w14:textId="72C996AC" w:rsidR="0077353C" w:rsidRPr="00564B73" w:rsidRDefault="00C2254E" w:rsidP="00564B73">
      <w:pPr>
        <w:pStyle w:val="ListParagraph"/>
        <w:numPr>
          <w:ilvl w:val="1"/>
          <w:numId w:val="9"/>
        </w:numPr>
        <w:spacing w:after="120" w:line="240" w:lineRule="auto"/>
      </w:pPr>
      <w:r>
        <w:t>Encourage</w:t>
      </w:r>
      <w:r w:rsidRPr="00564B73">
        <w:t xml:space="preserve"> </w:t>
      </w:r>
      <w:r w:rsidR="0077353C" w:rsidRPr="00564B73">
        <w:t>other organizations to engage in effective advocacy</w:t>
      </w:r>
      <w:r>
        <w:t>.</w:t>
      </w:r>
    </w:p>
    <w:p w14:paraId="1A3A56B6" w14:textId="723B84EE" w:rsidR="0077353C" w:rsidRPr="00564B73" w:rsidRDefault="0077353C" w:rsidP="00564B73">
      <w:pPr>
        <w:pStyle w:val="ListParagraph"/>
        <w:numPr>
          <w:ilvl w:val="1"/>
          <w:numId w:val="9"/>
        </w:numPr>
        <w:spacing w:after="120" w:line="240" w:lineRule="auto"/>
      </w:pPr>
      <w:r w:rsidRPr="00564B73">
        <w:t xml:space="preserve">Gain new skills and resources to advance our </w:t>
      </w:r>
      <w:r w:rsidR="00EC1322">
        <w:t xml:space="preserve">shared </w:t>
      </w:r>
      <w:r w:rsidRPr="00564B73">
        <w:t>goals</w:t>
      </w:r>
      <w:r w:rsidR="00C2254E">
        <w:t>.</w:t>
      </w:r>
      <w:r w:rsidRPr="00564B73">
        <w:t xml:space="preserve"> </w:t>
      </w:r>
    </w:p>
    <w:p w14:paraId="37F0DF10" w14:textId="14FE28E0" w:rsidR="00926560" w:rsidRDefault="0077353C" w:rsidP="000939E0">
      <w:pPr>
        <w:spacing w:after="120" w:line="240" w:lineRule="auto"/>
        <w:rPr>
          <w:rFonts w:eastAsiaTheme="majorEastAsia" w:cstheme="majorBidi"/>
          <w:b/>
          <w:color w:val="1F3763" w:themeColor="accent1" w:themeShade="7F"/>
          <w:sz w:val="24"/>
          <w:szCs w:val="24"/>
        </w:rPr>
      </w:pPr>
      <w:r w:rsidRPr="00564B73">
        <w:t xml:space="preserve">Our effort might begin with the creation of a report </w:t>
      </w:r>
      <w:r w:rsidR="00D12528">
        <w:t>to</w:t>
      </w:r>
      <w:r w:rsidRPr="00564B73">
        <w:t xml:space="preserve"> el</w:t>
      </w:r>
      <w:r w:rsidR="00EC1322">
        <w:t>aborate on the points made in this document</w:t>
      </w:r>
      <w:r w:rsidRPr="00564B73">
        <w:t xml:space="preserve">. If our organizations issued the document jointly, with sufficient support from experts in social and mass media, we could have a significant impact on public understanding and </w:t>
      </w:r>
      <w:r w:rsidR="00EC1322">
        <w:t>support for behavioral science to address societal challenges.</w:t>
      </w:r>
    </w:p>
    <w:p w14:paraId="5E3753F7" w14:textId="57D12AFF" w:rsidR="00EC1322" w:rsidRPr="00564B73" w:rsidRDefault="00EC1322" w:rsidP="00EC1322">
      <w:pPr>
        <w:pStyle w:val="Heading3"/>
      </w:pPr>
      <w:r>
        <w:t>Delivering Best Practices to Groups</w:t>
      </w:r>
    </w:p>
    <w:p w14:paraId="0B9D015A" w14:textId="0EE67867" w:rsidR="004850AC" w:rsidRPr="00564B73" w:rsidRDefault="00B66310" w:rsidP="00B53B58">
      <w:pPr>
        <w:spacing w:after="120" w:line="240" w:lineRule="auto"/>
      </w:pPr>
      <w:r>
        <w:t xml:space="preserve">Although </w:t>
      </w:r>
      <w:r w:rsidR="003A4BF8">
        <w:t xml:space="preserve">empirically </w:t>
      </w:r>
      <w:r w:rsidR="00657447" w:rsidRPr="00E4643E">
        <w:t>supported interventions have often demonstrated substantial power within institutions, e</w:t>
      </w:r>
      <w:r w:rsidR="004850AC" w:rsidRPr="00E4643E">
        <w:t xml:space="preserve">fforts to implement best practices in real-world settings </w:t>
      </w:r>
      <w:r w:rsidR="00657447" w:rsidRPr="00E4643E">
        <w:t xml:space="preserve">sometimes </w:t>
      </w:r>
      <w:r w:rsidR="0056089F" w:rsidRPr="00E4643E">
        <w:t>fail because they require partner</w:t>
      </w:r>
      <w:r w:rsidR="004850AC" w:rsidRPr="00E4643E">
        <w:t>s such as school districts, social service agencies, or local governments</w:t>
      </w:r>
      <w:r w:rsidR="0056089F" w:rsidRPr="00E4643E">
        <w:t xml:space="preserve"> to alter the status quo in order to deliver the</w:t>
      </w:r>
      <w:r w:rsidR="008D579F">
        <w:t>se</w:t>
      </w:r>
      <w:r w:rsidR="0056089F" w:rsidRPr="00E4643E">
        <w:t xml:space="preserve"> practices</w:t>
      </w:r>
      <w:r w:rsidR="004850AC" w:rsidRPr="00E4643E">
        <w:t>.</w:t>
      </w:r>
      <w:r w:rsidR="00463422">
        <w:t xml:space="preserve"> </w:t>
      </w:r>
      <w:r w:rsidR="00F55CB1">
        <w:t xml:space="preserve">To help address </w:t>
      </w:r>
      <w:r w:rsidR="00657447">
        <w:t xml:space="preserve">cases </w:t>
      </w:r>
      <w:r w:rsidR="00F55CB1">
        <w:t xml:space="preserve">when </w:t>
      </w:r>
      <w:r w:rsidR="00657447">
        <w:t xml:space="preserve">such resistance is a barrier, </w:t>
      </w:r>
      <w:r w:rsidR="00A60603">
        <w:t xml:space="preserve">there is scientific evidence of interventions </w:t>
      </w:r>
      <w:r w:rsidR="004850AC" w:rsidRPr="00A54FF7">
        <w:t>in larger multi</w:t>
      </w:r>
      <w:r w:rsidR="002A5DF7">
        <w:t>-</w:t>
      </w:r>
      <w:r w:rsidR="004850AC" w:rsidRPr="00A54FF7">
        <w:t>group cultural ecosystems</w:t>
      </w:r>
      <w:r w:rsidR="009A719F" w:rsidRPr="000939E0">
        <w:t xml:space="preserve"> (</w:t>
      </w:r>
      <w:hyperlink r:id="rId9" w:history="1">
        <w:r w:rsidR="00A01E03" w:rsidRPr="00325A95">
          <w:rPr>
            <w:rFonts w:eastAsia="Calibri" w:cs="Times New Roman"/>
            <w:color w:val="0000FF"/>
          </w:rPr>
          <w:t>www.prosocial.world</w:t>
        </w:r>
      </w:hyperlink>
      <w:r w:rsidR="00A01E03" w:rsidRPr="00A54FF7">
        <w:t>)</w:t>
      </w:r>
      <w:r w:rsidR="00A60603">
        <w:t xml:space="preserve"> that increase efficacy and </w:t>
      </w:r>
      <w:r w:rsidR="00A60603" w:rsidRPr="00E71BB8">
        <w:t>cooperation</w:t>
      </w:r>
      <w:r w:rsidR="00A60603">
        <w:t xml:space="preserve">. </w:t>
      </w:r>
      <w:r w:rsidR="00F55CB1">
        <w:t xml:space="preserve">They </w:t>
      </w:r>
      <w:r w:rsidR="00A60603">
        <w:t xml:space="preserve">consist of a </w:t>
      </w:r>
      <w:r w:rsidR="004850AC" w:rsidRPr="00A54FF7">
        <w:t>group facilitation process</w:t>
      </w:r>
      <w:r w:rsidR="000B0A0B">
        <w:t xml:space="preserve"> that includes </w:t>
      </w:r>
      <w:r w:rsidR="00A60603">
        <w:t xml:space="preserve">a segment </w:t>
      </w:r>
      <w:r w:rsidR="000B0A0B">
        <w:t xml:space="preserve">on </w:t>
      </w:r>
      <w:r w:rsidR="004850AC" w:rsidRPr="00A54FF7">
        <w:t xml:space="preserve">Acceptance and Commitment Training, which increases flexibility and the ability to work toward valued goals, and a segment on Core Design Principles for groups to function as cooperative units, based on the Nobel </w:t>
      </w:r>
      <w:r w:rsidR="00F55CB1">
        <w:t>P</w:t>
      </w:r>
      <w:r w:rsidR="00F55CB1" w:rsidRPr="00A54FF7">
        <w:t>rize</w:t>
      </w:r>
      <w:r w:rsidR="004850AC" w:rsidRPr="00A54FF7">
        <w:t>-winning work of Elinor Ostrom (</w:t>
      </w:r>
      <w:r w:rsidR="004850AC" w:rsidRPr="00A54FF7">
        <w:rPr>
          <w:color w:val="000000" w:themeColor="text1"/>
        </w:rPr>
        <w:t>Wilson,</w:t>
      </w:r>
      <w:r w:rsidR="004850AC" w:rsidRPr="00A54FF7">
        <w:t xml:space="preserve"> Ostrom, </w:t>
      </w:r>
      <w:r w:rsidR="003A4BF8" w:rsidRPr="00A54FF7">
        <w:t>&amp;</w:t>
      </w:r>
      <w:r w:rsidR="004850AC" w:rsidRPr="00A54FF7">
        <w:t xml:space="preserve"> Cox</w:t>
      </w:r>
      <w:r w:rsidR="00F55CB1">
        <w:t>,</w:t>
      </w:r>
      <w:r w:rsidR="004850AC" w:rsidRPr="00A54FF7">
        <w:t xml:space="preserve"> </w:t>
      </w:r>
      <w:r w:rsidR="00872F4E" w:rsidRPr="00A54FF7">
        <w:t>201</w:t>
      </w:r>
      <w:r w:rsidR="00872F4E">
        <w:t>3</w:t>
      </w:r>
      <w:r w:rsidR="004850AC" w:rsidRPr="00A54FF7">
        <w:t>).</w:t>
      </w:r>
      <w:r w:rsidR="004850AC" w:rsidRPr="00564B73">
        <w:t xml:space="preserve"> </w:t>
      </w:r>
    </w:p>
    <w:p w14:paraId="18BAA0E9" w14:textId="7FE812FB" w:rsidR="00A60603" w:rsidRDefault="004850AC" w:rsidP="00B53B58">
      <w:pPr>
        <w:spacing w:after="120" w:line="240" w:lineRule="auto"/>
      </w:pPr>
      <w:r w:rsidRPr="00564B73">
        <w:t xml:space="preserve">Engaging with groups in this fashion provides a starting point for offering a menu of other best practices, depending on the particular needs and objectives of a given group. There can also be an assessment of practices at the single group level, since we know that practices </w:t>
      </w:r>
      <w:r w:rsidR="003061B7">
        <w:t>validated by</w:t>
      </w:r>
      <w:r w:rsidRPr="00564B73">
        <w:t xml:space="preserve"> </w:t>
      </w:r>
      <w:r w:rsidR="003A4BF8">
        <w:t xml:space="preserve">scientific studies </w:t>
      </w:r>
      <w:r w:rsidR="0056089F">
        <w:t>do not automatically translate to</w:t>
      </w:r>
      <w:r w:rsidRPr="00564B73">
        <w:t xml:space="preserve"> local contexts. </w:t>
      </w:r>
      <w:r w:rsidR="000B0A0B">
        <w:t xml:space="preserve">Particularly in developing countries, employing </w:t>
      </w:r>
      <w:r w:rsidR="00EC1322">
        <w:t>such ecologically sensitive approaches</w:t>
      </w:r>
      <w:r w:rsidR="003A4BF8">
        <w:t>, which</w:t>
      </w:r>
      <w:r w:rsidR="00EC1322">
        <w:t xml:space="preserve"> parallel </w:t>
      </w:r>
      <w:r w:rsidR="000B0A0B">
        <w:t xml:space="preserve">those of </w:t>
      </w:r>
      <w:r w:rsidR="00EC1322">
        <w:t>other industries such as civil engineering</w:t>
      </w:r>
      <w:r w:rsidR="003A4BF8">
        <w:t>,</w:t>
      </w:r>
      <w:r w:rsidR="00EC1322">
        <w:t xml:space="preserve"> </w:t>
      </w:r>
      <w:r w:rsidR="000B0A0B">
        <w:t>could be very valuable</w:t>
      </w:r>
      <w:r w:rsidR="00EC1322">
        <w:t xml:space="preserve">. </w:t>
      </w:r>
    </w:p>
    <w:p w14:paraId="1D972436" w14:textId="243027D3" w:rsidR="004850AC" w:rsidRPr="00564B73" w:rsidRDefault="004850AC" w:rsidP="00B53B58">
      <w:pPr>
        <w:spacing w:after="120" w:line="240" w:lineRule="auto"/>
      </w:pPr>
      <w:r w:rsidRPr="00564B73">
        <w:t xml:space="preserve">A coalition of behavior science organizations </w:t>
      </w:r>
      <w:r w:rsidR="000B0A0B" w:rsidRPr="00564B73">
        <w:t>c</w:t>
      </w:r>
      <w:r w:rsidR="000B0A0B">
        <w:t>ould</w:t>
      </w:r>
      <w:r w:rsidR="000B0A0B" w:rsidRPr="00564B73">
        <w:t xml:space="preserve"> </w:t>
      </w:r>
      <w:r w:rsidRPr="00564B73">
        <w:t>play a key role in creating framework</w:t>
      </w:r>
      <w:r w:rsidR="000B0A0B">
        <w:t>s</w:t>
      </w:r>
      <w:r w:rsidRPr="00564B73">
        <w:t xml:space="preserve"> for working directly with groups</w:t>
      </w:r>
      <w:r w:rsidR="00EC1322">
        <w:t xml:space="preserve"> to scale up sustainabl</w:t>
      </w:r>
      <w:r w:rsidR="000B0A0B">
        <w:t>y</w:t>
      </w:r>
      <w:r w:rsidR="0056089F">
        <w:t xml:space="preserve">. Institutions will </w:t>
      </w:r>
      <w:r w:rsidR="003A4BF8">
        <w:t xml:space="preserve">continue to </w:t>
      </w:r>
      <w:r w:rsidRPr="00564B73">
        <w:t>play important role</w:t>
      </w:r>
      <w:r w:rsidR="000B0A0B">
        <w:t>s</w:t>
      </w:r>
      <w:r w:rsidRPr="00564B73">
        <w:t xml:space="preserve"> in </w:t>
      </w:r>
      <w:r w:rsidR="000B0A0B">
        <w:t xml:space="preserve">such </w:t>
      </w:r>
      <w:r w:rsidRPr="00564B73">
        <w:t>process</w:t>
      </w:r>
      <w:r w:rsidR="000B0A0B">
        <w:t>es</w:t>
      </w:r>
      <w:r w:rsidRPr="00564B73">
        <w:t xml:space="preserve">, but in a way that avoids </w:t>
      </w:r>
      <w:r w:rsidR="004D78E7">
        <w:t>over</w:t>
      </w:r>
      <w:r w:rsidR="000B0A0B">
        <w:t xml:space="preserve">reliance </w:t>
      </w:r>
      <w:r w:rsidR="004D78E7">
        <w:t>on</w:t>
      </w:r>
      <w:r w:rsidR="0056089F">
        <w:t xml:space="preserve"> </w:t>
      </w:r>
      <w:r w:rsidR="000B0A0B">
        <w:t>them</w:t>
      </w:r>
      <w:r w:rsidRPr="00564B73">
        <w:t>.</w:t>
      </w:r>
    </w:p>
    <w:p w14:paraId="4A54E9BC" w14:textId="208EEE88" w:rsidR="004D78E7" w:rsidRPr="00564B73" w:rsidRDefault="004D78E7" w:rsidP="004D78E7">
      <w:pPr>
        <w:pStyle w:val="Heading3"/>
      </w:pPr>
      <w:r>
        <w:t>Creating a “</w:t>
      </w:r>
      <w:r w:rsidR="00A01E03">
        <w:t>Science-to-</w:t>
      </w:r>
      <w:r>
        <w:t>Narrative Chain” Communication Strategy</w:t>
      </w:r>
    </w:p>
    <w:p w14:paraId="71232B30" w14:textId="26E5F489" w:rsidR="004850AC" w:rsidRPr="00564B73" w:rsidRDefault="004850AC" w:rsidP="00B53B58">
      <w:pPr>
        <w:spacing w:after="120" w:line="240" w:lineRule="auto"/>
      </w:pPr>
      <w:r w:rsidRPr="00564B73">
        <w:t xml:space="preserve">The concept of a </w:t>
      </w:r>
      <w:r w:rsidR="00A01E03">
        <w:t>s</w:t>
      </w:r>
      <w:r w:rsidR="00A01E03" w:rsidRPr="00564B73">
        <w:t>cience</w:t>
      </w:r>
      <w:r w:rsidR="00A01E03">
        <w:t>-</w:t>
      </w:r>
      <w:r w:rsidRPr="00564B73">
        <w:t>to</w:t>
      </w:r>
      <w:r w:rsidR="00A01E03">
        <w:t>-n</w:t>
      </w:r>
      <w:r w:rsidRPr="00564B73">
        <w:t xml:space="preserve">arrative </w:t>
      </w:r>
      <w:r w:rsidR="00A01E03">
        <w:t>c</w:t>
      </w:r>
      <w:r w:rsidRPr="00564B73">
        <w:t xml:space="preserve">hain </w:t>
      </w:r>
      <w:r w:rsidR="003A4BF8">
        <w:t xml:space="preserve">accepts </w:t>
      </w:r>
      <w:r w:rsidRPr="00564B73">
        <w:t xml:space="preserve">that science is necessary but not </w:t>
      </w:r>
      <w:r w:rsidR="003A4BF8">
        <w:t>enough</w:t>
      </w:r>
      <w:r w:rsidRPr="00564B73">
        <w:t xml:space="preserve"> to solve the problems of modern existence. There must also be narratives capable of reaching mass audiences and a chain of material</w:t>
      </w:r>
      <w:r w:rsidR="004D78E7">
        <w:t>s</w:t>
      </w:r>
      <w:r w:rsidR="00FE1698">
        <w:t xml:space="preserve"> </w:t>
      </w:r>
      <w:r w:rsidR="003A4BF8">
        <w:t>to provide</w:t>
      </w:r>
      <w:r w:rsidR="00FE1698">
        <w:t xml:space="preserve"> varying degrees of </w:t>
      </w:r>
      <w:r w:rsidRPr="00564B73">
        <w:t xml:space="preserve">depth, so </w:t>
      </w:r>
      <w:r w:rsidR="00C84462">
        <w:t xml:space="preserve">that </w:t>
      </w:r>
      <w:r w:rsidR="003A4BF8">
        <w:t>many people</w:t>
      </w:r>
      <w:r w:rsidRPr="00564B73">
        <w:t xml:space="preserve"> can learn more no matter where they </w:t>
      </w:r>
      <w:r w:rsidR="003A4BF8">
        <w:t>begin</w:t>
      </w:r>
      <w:r w:rsidRPr="00564B73">
        <w:t xml:space="preserve"> the chain. Creating a chain </w:t>
      </w:r>
      <w:r w:rsidR="00FE1698">
        <w:t xml:space="preserve">(or continuum) </w:t>
      </w:r>
      <w:r w:rsidR="003A4BF8">
        <w:t>also e</w:t>
      </w:r>
      <w:r w:rsidRPr="00564B73">
        <w:t>nsures that the narratives remain accountable to the science and</w:t>
      </w:r>
      <w:r w:rsidR="003A4BF8">
        <w:t xml:space="preserve"> will include and </w:t>
      </w:r>
      <w:r w:rsidR="00C84462">
        <w:t xml:space="preserve">quickly </w:t>
      </w:r>
      <w:r w:rsidR="003A4BF8">
        <w:t>transmit</w:t>
      </w:r>
      <w:r w:rsidRPr="00564B73">
        <w:t xml:space="preserve"> the most recent developments. </w:t>
      </w:r>
    </w:p>
    <w:p w14:paraId="51988FD7" w14:textId="77777777" w:rsidR="0077353C" w:rsidRPr="00564B73" w:rsidRDefault="0077353C" w:rsidP="00AE3E3E">
      <w:pPr>
        <w:pStyle w:val="Heading3"/>
      </w:pPr>
      <w:r w:rsidRPr="00564B73">
        <w:t>Establishing Measures of Our Impact</w:t>
      </w:r>
    </w:p>
    <w:p w14:paraId="64D2FAC1" w14:textId="17CF70C4" w:rsidR="0077353C" w:rsidRPr="00564B73" w:rsidRDefault="0077353C" w:rsidP="00B53B58">
      <w:pPr>
        <w:spacing w:after="120" w:line="240" w:lineRule="auto"/>
      </w:pPr>
      <w:r w:rsidRPr="00564B73">
        <w:t xml:space="preserve">It would be inconsistent for behavioral science organizations to </w:t>
      </w:r>
      <w:r w:rsidR="00C84462">
        <w:t>participat</w:t>
      </w:r>
      <w:r w:rsidR="00C84462" w:rsidRPr="00564B73">
        <w:t>e</w:t>
      </w:r>
      <w:r w:rsidR="00C84462">
        <w:t xml:space="preserve"> </w:t>
      </w:r>
      <w:r w:rsidR="004D78E7">
        <w:t xml:space="preserve">in this coalition </w:t>
      </w:r>
      <w:r w:rsidR="00D12528">
        <w:t>without</w:t>
      </w:r>
      <w:r w:rsidR="004D78E7">
        <w:t xml:space="preserve"> measuring</w:t>
      </w:r>
      <w:r w:rsidR="00D12528">
        <w:t xml:space="preserve"> its</w:t>
      </w:r>
      <w:r w:rsidR="004D78E7">
        <w:t xml:space="preserve"> impact</w:t>
      </w:r>
      <w:r w:rsidRPr="00564B73">
        <w:t>. Our measures of impact will focus on our effectiveness on expansion of behavioral science research and influence on policy at the local, state, and federal level</w:t>
      </w:r>
      <w:r w:rsidR="00D12528">
        <w:t>s</w:t>
      </w:r>
      <w:r w:rsidRPr="00564B73">
        <w:t>. For example</w:t>
      </w:r>
      <w:r w:rsidR="00FE1698">
        <w:t>, we could measure</w:t>
      </w:r>
      <w:r w:rsidRPr="00564B73">
        <w:t>:</w:t>
      </w:r>
    </w:p>
    <w:p w14:paraId="0CEA9B2D" w14:textId="0EC32A0D" w:rsidR="0077353C" w:rsidRPr="00564B73" w:rsidRDefault="00FE1698" w:rsidP="00B53B58">
      <w:pPr>
        <w:pStyle w:val="ListParagraph"/>
        <w:numPr>
          <w:ilvl w:val="0"/>
          <w:numId w:val="45"/>
        </w:numPr>
        <w:spacing w:after="120" w:line="240" w:lineRule="auto"/>
      </w:pPr>
      <w:r>
        <w:t>Increases in the n</w:t>
      </w:r>
      <w:r w:rsidR="0077353C" w:rsidRPr="00564B73">
        <w:t>umber of new</w:t>
      </w:r>
      <w:r w:rsidR="003A4BF8">
        <w:t>ly established</w:t>
      </w:r>
      <w:r w:rsidR="0077353C" w:rsidRPr="00564B73">
        <w:t xml:space="preserve"> interdisciplinary research and</w:t>
      </w:r>
      <w:r w:rsidR="003A4BF8">
        <w:t xml:space="preserve"> training programs</w:t>
      </w:r>
      <w:r w:rsidR="00C84462">
        <w:t>.</w:t>
      </w:r>
      <w:r w:rsidR="003A4BF8">
        <w:t xml:space="preserve"> </w:t>
      </w:r>
    </w:p>
    <w:p w14:paraId="1F4FD7C1" w14:textId="7030E1FA" w:rsidR="0077353C" w:rsidRPr="00564B73" w:rsidRDefault="0077353C" w:rsidP="00B53B58">
      <w:pPr>
        <w:pStyle w:val="ListParagraph"/>
        <w:numPr>
          <w:ilvl w:val="0"/>
          <w:numId w:val="45"/>
        </w:numPr>
        <w:spacing w:after="120" w:line="240" w:lineRule="auto"/>
      </w:pPr>
      <w:r w:rsidRPr="00564B73">
        <w:t>Increases in federal and foundation funding of behavioral science research</w:t>
      </w:r>
      <w:r w:rsidR="00C84462">
        <w:t>.</w:t>
      </w:r>
    </w:p>
    <w:p w14:paraId="5514C8C0" w14:textId="1E5A28F0" w:rsidR="0077353C" w:rsidRPr="00564B73" w:rsidRDefault="00FE1698" w:rsidP="00B53B58">
      <w:pPr>
        <w:pStyle w:val="ListParagraph"/>
        <w:numPr>
          <w:ilvl w:val="0"/>
          <w:numId w:val="45"/>
        </w:numPr>
        <w:spacing w:after="120" w:line="240" w:lineRule="auto"/>
      </w:pPr>
      <w:r>
        <w:t>Increases in the n</w:t>
      </w:r>
      <w:r w:rsidR="0077353C" w:rsidRPr="00564B73">
        <w:t>umber of behavioral science</w:t>
      </w:r>
      <w:r w:rsidR="003A4BF8">
        <w:t>-</w:t>
      </w:r>
      <w:r w:rsidR="0077353C" w:rsidRPr="00564B73">
        <w:t>based policies adopted at the local, state, and federal level</w:t>
      </w:r>
      <w:r w:rsidR="00C84462">
        <w:t>s</w:t>
      </w:r>
      <w:r w:rsidR="0077353C" w:rsidRPr="00564B73">
        <w:t>.</w:t>
      </w:r>
    </w:p>
    <w:p w14:paraId="19664C16" w14:textId="0C25CA2D" w:rsidR="0077353C" w:rsidRPr="00564B73" w:rsidRDefault="0077353C" w:rsidP="00B53B58">
      <w:pPr>
        <w:pStyle w:val="ListParagraph"/>
        <w:numPr>
          <w:ilvl w:val="0"/>
          <w:numId w:val="45"/>
        </w:numPr>
        <w:spacing w:after="120" w:line="240" w:lineRule="auto"/>
      </w:pPr>
      <w:r w:rsidRPr="00564B73">
        <w:t>Increase</w:t>
      </w:r>
      <w:r w:rsidR="00C84462">
        <w:t>s</w:t>
      </w:r>
      <w:r w:rsidRPr="00564B73">
        <w:t xml:space="preserve"> in the number of people, families, schools, communities, and work organizations that evidence-based programs and policies</w:t>
      </w:r>
      <w:r w:rsidR="003A4BF8">
        <w:t xml:space="preserve"> are </w:t>
      </w:r>
      <w:r w:rsidR="00C84462">
        <w:t>reaching.</w:t>
      </w:r>
    </w:p>
    <w:p w14:paraId="0481B5C6" w14:textId="7A3B4D46" w:rsidR="0077353C" w:rsidRDefault="00FE1698" w:rsidP="00B53B58">
      <w:pPr>
        <w:pStyle w:val="ListParagraph"/>
        <w:numPr>
          <w:ilvl w:val="0"/>
          <w:numId w:val="45"/>
        </w:numPr>
        <w:spacing w:after="120" w:line="240" w:lineRule="auto"/>
      </w:pPr>
      <w:r>
        <w:t>Increase in f</w:t>
      </w:r>
      <w:r w:rsidR="0077353C" w:rsidRPr="00564B73">
        <w:t xml:space="preserve">unding for dissemination of behavioral science from </w:t>
      </w:r>
      <w:r w:rsidR="00BE06C2" w:rsidRPr="00564B73">
        <w:t>governmen</w:t>
      </w:r>
      <w:r w:rsidR="00BE06C2">
        <w:t>t</w:t>
      </w:r>
      <w:r w:rsidR="00BE06C2" w:rsidRPr="00564B73">
        <w:t>s</w:t>
      </w:r>
      <w:r w:rsidR="0077353C" w:rsidRPr="00564B73">
        <w:t xml:space="preserve">, foundations, and other organizations </w:t>
      </w:r>
    </w:p>
    <w:p w14:paraId="2A4C8EE9" w14:textId="77777777" w:rsidR="005E5318" w:rsidRDefault="005E5318" w:rsidP="005E531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The Pivotal Role of Behavioral Science </w:t>
      </w:r>
    </w:p>
    <w:p w14:paraId="56135264" w14:textId="1103B277" w:rsidR="005E5318" w:rsidRDefault="00C84462" w:rsidP="005E5318">
      <w:r>
        <w:t xml:space="preserve">Many people </w:t>
      </w:r>
      <w:r w:rsidR="005E5318">
        <w:t xml:space="preserve">take for granted the enormous changes in </w:t>
      </w:r>
      <w:r>
        <w:t>the</w:t>
      </w:r>
      <w:r w:rsidR="005E5318">
        <w:t xml:space="preserve"> physical world that have resulted from scientific and technological developments. Yet the fundamental problems our societ</w:t>
      </w:r>
      <w:r>
        <w:t>ie</w:t>
      </w:r>
      <w:r w:rsidR="005E5318">
        <w:t xml:space="preserve">s face are </w:t>
      </w:r>
      <w:r>
        <w:t xml:space="preserve">those </w:t>
      </w:r>
      <w:r w:rsidR="005E5318">
        <w:t xml:space="preserve">of human behavior. Behavioral science has the knowledge and methods to address these problems, but we lack the influence. It is only by bringing the behavioral scientific community together to make a more effective case for the use of behavioral science </w:t>
      </w:r>
      <w:r w:rsidR="005E5318" w:rsidRPr="00C304E3">
        <w:t>that we</w:t>
      </w:r>
      <w:r w:rsidR="005E5318">
        <w:t xml:space="preserve"> will truly achieve societies that nurture the well</w:t>
      </w:r>
      <w:r>
        <w:t>-</w:t>
      </w:r>
      <w:r w:rsidR="005E5318">
        <w:t xml:space="preserve">being of every person. This coalition is a first step toward </w:t>
      </w:r>
      <w:r>
        <w:t>using</w:t>
      </w:r>
      <w:r w:rsidR="005E5318">
        <w:t xml:space="preserve"> behavioral science to achieve greater well</w:t>
      </w:r>
      <w:r w:rsidR="00676A9C">
        <w:t>-</w:t>
      </w:r>
      <w:r w:rsidR="005E5318">
        <w:t>being than we have had in human history.</w:t>
      </w:r>
    </w:p>
    <w:p w14:paraId="77DBC91E" w14:textId="77777777" w:rsidR="005E5318" w:rsidRPr="00055301" w:rsidRDefault="005E5318" w:rsidP="000939E0">
      <w:pPr>
        <w:spacing w:after="120" w:line="240" w:lineRule="auto"/>
      </w:pPr>
    </w:p>
    <w:p w14:paraId="40F4D8D7" w14:textId="77777777" w:rsidR="0034580C" w:rsidRDefault="0034580C">
      <w:pPr>
        <w:rPr>
          <w:rFonts w:eastAsiaTheme="majorEastAsia" w:cstheme="majorBidi"/>
          <w:b/>
          <w:caps/>
          <w:color w:val="1F3864" w:themeColor="accent1" w:themeShade="80"/>
          <w:sz w:val="26"/>
          <w:szCs w:val="26"/>
        </w:rPr>
      </w:pPr>
      <w:r>
        <w:br w:type="page"/>
      </w:r>
    </w:p>
    <w:p w14:paraId="7299C1E8" w14:textId="123972C6" w:rsidR="0077353C" w:rsidRPr="00AE3E3E" w:rsidRDefault="004B194E" w:rsidP="00D12528">
      <w:pPr>
        <w:pStyle w:val="Heading2"/>
        <w:numPr>
          <w:ilvl w:val="0"/>
          <w:numId w:val="0"/>
        </w:numPr>
        <w:spacing w:before="240"/>
        <w:ind w:left="360" w:hanging="360"/>
        <w:jc w:val="center"/>
        <w:rPr>
          <w:rFonts w:eastAsia="Calibri"/>
          <w:lang w:val="uz-Cyrl-UZ"/>
        </w:rPr>
      </w:pPr>
      <w:r w:rsidRPr="00AE3E3E">
        <w:t>REFERENCES</w:t>
      </w:r>
    </w:p>
    <w:p w14:paraId="46F2CF7C" w14:textId="77777777" w:rsidR="00E95AEA" w:rsidRPr="00E4643E" w:rsidRDefault="00E95AEA" w:rsidP="00E95AEA">
      <w:pPr>
        <w:spacing w:after="120" w:line="240" w:lineRule="auto"/>
        <w:ind w:left="720" w:hanging="720"/>
        <w:rPr>
          <w:rFonts w:eastAsia="Times New Roman" w:cstheme="minorHAnsi"/>
          <w:color w:val="000000" w:themeColor="text1"/>
        </w:rPr>
      </w:pPr>
      <w:r w:rsidRPr="00B04406">
        <w:rPr>
          <w:rFonts w:eastAsia="Times New Roman" w:cstheme="minorHAnsi"/>
          <w:shd w:val="clear" w:color="auto" w:fill="FFFFFF"/>
        </w:rPr>
        <w:t>Alavosius, M</w:t>
      </w:r>
      <w:r w:rsidRPr="00E4643E">
        <w:rPr>
          <w:rFonts w:eastAsia="Times New Roman" w:cstheme="minorHAnsi"/>
          <w:color w:val="000000" w:themeColor="text1"/>
          <w:shd w:val="clear" w:color="auto" w:fill="FFFFFF"/>
        </w:rPr>
        <w:t>., Newsome, D., Houmanfar, R., &amp; Biglan, A. (2016). A functional contextualist analysis of the behavior and organizational practices relevant to climate change.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E4643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The Wiley Handbook of Contextual Behavioral Science</w:t>
      </w:r>
      <w:r w:rsidRPr="00E4643E">
        <w:rPr>
          <w:rFonts w:eastAsia="Times New Roman" w:cstheme="minorHAnsi"/>
          <w:color w:val="000000" w:themeColor="text1"/>
          <w:shd w:val="clear" w:color="auto" w:fill="FFFFFF"/>
        </w:rPr>
        <w:t>, 513</w:t>
      </w:r>
      <w:r>
        <w:rPr>
          <w:rFonts w:eastAsia="Calibri" w:cs="Times New Roman"/>
        </w:rPr>
        <w:t>–</w:t>
      </w:r>
      <w:r w:rsidRPr="00E4643E">
        <w:rPr>
          <w:rFonts w:eastAsia="Times New Roman" w:cstheme="minorHAnsi"/>
          <w:color w:val="000000" w:themeColor="text1"/>
          <w:shd w:val="clear" w:color="auto" w:fill="FFFFFF"/>
        </w:rPr>
        <w:t>530.</w:t>
      </w:r>
    </w:p>
    <w:p w14:paraId="0FB0E83B" w14:textId="55E22C09" w:rsidR="004B194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B04406">
        <w:rPr>
          <w:rFonts w:eastAsia="Calibri" w:cs="Times New Roman"/>
        </w:rPr>
        <w:t xml:space="preserve">Algozzine, K., &amp; Algozzine, B. (2007). </w:t>
      </w:r>
      <w:r w:rsidRPr="00AE3E3E">
        <w:rPr>
          <w:rFonts w:eastAsia="Calibri" w:cs="Times New Roman"/>
        </w:rPr>
        <w:t xml:space="preserve">Classroom instructional ecology and school-wide positive behavior support. </w:t>
      </w:r>
      <w:r w:rsidRPr="00AE3E3E">
        <w:rPr>
          <w:rFonts w:eastAsia="Calibri" w:cs="Times New Roman"/>
          <w:i/>
        </w:rPr>
        <w:t>Journal of Applied School Psychology, 24</w:t>
      </w:r>
      <w:r w:rsidRPr="00AE3E3E">
        <w:rPr>
          <w:rFonts w:eastAsia="Calibri" w:cs="Times New Roman"/>
        </w:rPr>
        <w:t>, 29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47. </w:t>
      </w:r>
      <w:hyperlink r:id="rId10" w:history="1">
        <w:r w:rsidRPr="00AE3E3E">
          <w:rPr>
            <w:rFonts w:eastAsia="Calibri" w:cs="Times New Roman"/>
            <w:color w:val="0000FF"/>
            <w:u w:val="single"/>
          </w:rPr>
          <w:t>http://dx.doi.org/</w:t>
        </w:r>
        <w:r w:rsidRPr="00AE3E3E">
          <w:rPr>
            <w:rFonts w:eastAsia="Calibri" w:cs="Times New Roman"/>
            <w:color w:val="0000FF"/>
            <w:u w:val="single"/>
          </w:rPr>
          <w:br w:type="textWrapping" w:clear="all"/>
          <w:t>10.1300/J370v24n01_02</w:t>
        </w:r>
      </w:hyperlink>
      <w:r w:rsidRPr="00AE3E3E">
        <w:rPr>
          <w:rFonts w:eastAsia="Calibri" w:cs="Times New Roman"/>
        </w:rPr>
        <w:t xml:space="preserve"> </w:t>
      </w:r>
    </w:p>
    <w:p w14:paraId="10C9D828" w14:textId="2A2FB445" w:rsidR="004B194E" w:rsidRPr="00F218BB" w:rsidRDefault="004B194E" w:rsidP="00AE3E3E">
      <w:pPr>
        <w:spacing w:after="120" w:line="240" w:lineRule="auto"/>
        <w:ind w:left="720" w:hanging="720"/>
        <w:rPr>
          <w:rFonts w:eastAsia="Calibri" w:cs="Times New Roman"/>
          <w:color w:val="0000FF"/>
          <w:u w:val="single"/>
        </w:rPr>
      </w:pPr>
      <w:r w:rsidRPr="00485FAB">
        <w:rPr>
          <w:rFonts w:eastAsia="Calibri" w:cs="Times New Roman"/>
        </w:rPr>
        <w:t>A</w:t>
      </w:r>
      <w:r w:rsidR="00D81F50">
        <w:rPr>
          <w:rFonts w:eastAsia="Calibri" w:cs="Times New Roman"/>
        </w:rPr>
        <w:t>merican Psychological Association,</w:t>
      </w:r>
      <w:r w:rsidRPr="00485FAB">
        <w:rPr>
          <w:rFonts w:eastAsia="Calibri" w:cs="Times New Roman"/>
        </w:rPr>
        <w:t xml:space="preserve"> Presidential Task Force on Evidence-Based Practice. (2006). Evidenc</w:t>
      </w:r>
      <w:r w:rsidRPr="00AE3E3E">
        <w:rPr>
          <w:rFonts w:eastAsia="Calibri" w:cs="Times New Roman"/>
        </w:rPr>
        <w:t xml:space="preserve">e-based practice in psychology. </w:t>
      </w:r>
      <w:r w:rsidRPr="00AE3E3E">
        <w:rPr>
          <w:rFonts w:eastAsia="Calibri" w:cs="Times New Roman"/>
          <w:i/>
        </w:rPr>
        <w:t>American Psychologist, 61</w:t>
      </w:r>
      <w:r w:rsidRPr="00AE3E3E">
        <w:rPr>
          <w:rFonts w:eastAsia="Calibri" w:cs="Times New Roman"/>
        </w:rPr>
        <w:t>, 271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>285.</w:t>
      </w:r>
      <w:r w:rsidR="00F218BB">
        <w:rPr>
          <w:rFonts w:eastAsia="Calibri" w:cs="Times New Roman"/>
        </w:rPr>
        <w:t xml:space="preserve"> </w:t>
      </w:r>
      <w:hyperlink r:id="rId11" w:history="1">
        <w:r w:rsidR="00F218BB" w:rsidRPr="00F218BB">
          <w:rPr>
            <w:color w:val="0000FF"/>
            <w:u w:val="single"/>
          </w:rPr>
          <w:t>https://doi.org/10.1037/0003-066X.61.4.271</w:t>
        </w:r>
      </w:hyperlink>
      <w:r w:rsidR="00F218BB" w:rsidRPr="00F218BB">
        <w:rPr>
          <w:rFonts w:eastAsia="Calibri" w:cs="Times New Roman"/>
          <w:color w:val="0000FF"/>
          <w:u w:val="single"/>
        </w:rPr>
        <w:t xml:space="preserve"> </w:t>
      </w:r>
    </w:p>
    <w:p w14:paraId="2A763D44" w14:textId="77777777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Archer, A. </w:t>
      </w:r>
      <w:r w:rsidRPr="00AE3E3E">
        <w:rPr>
          <w:rFonts w:eastAsia="Calibri" w:cs="Times New Roman"/>
        </w:rPr>
        <w:t xml:space="preserve">L., &amp; Hughes, C. A. (2010). </w:t>
      </w:r>
      <w:r w:rsidRPr="00AE3E3E">
        <w:rPr>
          <w:rFonts w:eastAsia="Calibri" w:cs="Times New Roman"/>
          <w:i/>
        </w:rPr>
        <w:t>Explicit instruction: Effective and efficient teaching</w:t>
      </w:r>
      <w:r w:rsidRPr="00AE3E3E">
        <w:rPr>
          <w:rFonts w:eastAsia="Calibri" w:cs="Times New Roman"/>
        </w:rPr>
        <w:t>. New York, NY: Guilford Press.</w:t>
      </w:r>
    </w:p>
    <w:p w14:paraId="15191F2A" w14:textId="77777777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Biglan, </w:t>
      </w:r>
      <w:r w:rsidRPr="00AE3E3E">
        <w:rPr>
          <w:rFonts w:eastAsia="Calibri" w:cs="Times New Roman"/>
        </w:rPr>
        <w:t xml:space="preserve">A. (2015). </w:t>
      </w:r>
      <w:r w:rsidRPr="00AE3E3E">
        <w:rPr>
          <w:rFonts w:eastAsia="Calibri" w:cs="Times New Roman"/>
          <w:i/>
        </w:rPr>
        <w:t>The nurture effect: How the science of human behavior can improve our lives and our world</w:t>
      </w:r>
      <w:r w:rsidRPr="00AE3E3E">
        <w:rPr>
          <w:rFonts w:eastAsia="Calibri" w:cs="Times New Roman"/>
        </w:rPr>
        <w:t>. Oakland, CA: New Harbinger Publications.</w:t>
      </w:r>
    </w:p>
    <w:p w14:paraId="7FCD5057" w14:textId="6BE56698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Biglan, A</w:t>
      </w:r>
      <w:r w:rsidRPr="00AE3E3E">
        <w:rPr>
          <w:rFonts w:eastAsia="Calibri" w:cs="Times New Roman"/>
        </w:rPr>
        <w:t xml:space="preserve">. (2016). The ultimate goal of prevention and the larger context for translation. </w:t>
      </w:r>
      <w:r w:rsidRPr="00AE3E3E">
        <w:rPr>
          <w:rFonts w:eastAsia="Calibri" w:cs="Times New Roman"/>
          <w:i/>
        </w:rPr>
        <w:t>Prevention Science</w:t>
      </w:r>
      <w:r w:rsidRPr="00AE3E3E">
        <w:rPr>
          <w:rFonts w:eastAsia="Calibri" w:cs="Times New Roman"/>
        </w:rPr>
        <w:t>, 1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9. Advance online publication. </w:t>
      </w:r>
      <w:hyperlink r:id="rId12" w:history="1">
        <w:r w:rsidRPr="00AE3E3E">
          <w:rPr>
            <w:rFonts w:eastAsia="Calibri" w:cs="Times New Roman"/>
            <w:color w:val="0000FF"/>
            <w:u w:val="single"/>
          </w:rPr>
          <w:t>https://doi.org/10.1007/s11121-016-0635-6</w:t>
        </w:r>
      </w:hyperlink>
    </w:p>
    <w:p w14:paraId="029021C1" w14:textId="703FB1F0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Biglan,</w:t>
      </w:r>
      <w:r w:rsidRPr="00AE3E3E">
        <w:rPr>
          <w:rFonts w:eastAsia="Calibri" w:cs="Times New Roman"/>
        </w:rPr>
        <w:t xml:space="preserve"> A., Ary, D., Koehn, V., Levings, D., Smith, S., Wright, Z., ... Henderson, J. (1996). Mobilizing positive reinforcement in communities to reduce youth access to tobacco. </w:t>
      </w:r>
      <w:r w:rsidRPr="00AE3E3E">
        <w:rPr>
          <w:rFonts w:eastAsia="Calibri" w:cs="Times New Roman"/>
          <w:i/>
        </w:rPr>
        <w:t>American Journal of Community Psychology, 24</w:t>
      </w:r>
      <w:r w:rsidRPr="00AE3E3E">
        <w:rPr>
          <w:rFonts w:eastAsia="Calibri" w:cs="Times New Roman"/>
        </w:rPr>
        <w:t>, 625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638. </w:t>
      </w:r>
      <w:hyperlink r:id="rId13" w:history="1">
        <w:r w:rsidR="00F218BB" w:rsidRPr="00F218BB">
          <w:rPr>
            <w:color w:val="0000FF"/>
            <w:u w:val="single"/>
            <w:lang w:val="de-DE"/>
          </w:rPr>
          <w:t>http://doi.org/10.1007/BF02509717</w:t>
        </w:r>
      </w:hyperlink>
    </w:p>
    <w:p w14:paraId="6E6B9E3C" w14:textId="569A3687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  <w:color w:val="0000FF"/>
          <w:u w:val="single"/>
          <w:lang w:val="de-DE"/>
        </w:rPr>
      </w:pPr>
      <w:r w:rsidRPr="00485FAB">
        <w:rPr>
          <w:rFonts w:eastAsia="Calibri" w:cs="Times New Roman"/>
        </w:rPr>
        <w:t xml:space="preserve">Biglan, A., </w:t>
      </w:r>
      <w:r w:rsidRPr="00AE3E3E">
        <w:rPr>
          <w:rFonts w:eastAsia="Calibri" w:cs="Times New Roman"/>
        </w:rPr>
        <w:t xml:space="preserve">Flay, B. R., Embry, D. D., &amp; Sandler, I. N. (2012). The critical role of nurturing environments for promoting human well-being. </w:t>
      </w:r>
      <w:r w:rsidRPr="00AE3E3E">
        <w:rPr>
          <w:rFonts w:eastAsia="Calibri" w:cs="Times New Roman"/>
          <w:i/>
          <w:lang w:val="de-DE"/>
        </w:rPr>
        <w:t>American Psychologist, 67</w:t>
      </w:r>
      <w:r w:rsidRPr="00AE3E3E">
        <w:rPr>
          <w:rFonts w:eastAsia="Calibri" w:cs="Times New Roman"/>
          <w:lang w:val="de-DE"/>
        </w:rPr>
        <w:t>, 257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  <w:lang w:val="de-DE"/>
        </w:rPr>
        <w:t xml:space="preserve">271. </w:t>
      </w:r>
      <w:hyperlink r:id="rId14" w:history="1">
        <w:r w:rsidRPr="00AE3E3E">
          <w:rPr>
            <w:rFonts w:eastAsia="Calibri" w:cs="Times New Roman"/>
            <w:color w:val="0000FF"/>
            <w:u w:val="single"/>
            <w:lang w:val="de-DE"/>
          </w:rPr>
          <w:t>http://doi.org/10.1037/a0026796</w:t>
        </w:r>
      </w:hyperlink>
    </w:p>
    <w:p w14:paraId="31A25BB0" w14:textId="752ABA12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  <w:lang w:val="de-DE"/>
        </w:rPr>
        <w:t>Bond, F. W</w:t>
      </w:r>
      <w:r w:rsidRPr="00AE3E3E">
        <w:rPr>
          <w:rFonts w:eastAsia="Calibri" w:cs="Times New Roman"/>
          <w:lang w:val="de-DE"/>
        </w:rPr>
        <w:t xml:space="preserve">., &amp; Bunce, D. (2000). </w:t>
      </w:r>
      <w:r w:rsidRPr="00AE3E3E">
        <w:rPr>
          <w:rFonts w:eastAsia="Calibri" w:cs="Times New Roman"/>
        </w:rPr>
        <w:t xml:space="preserve">Mediators of change in emotion-focused and problem-focused worksite stress management interventions. </w:t>
      </w:r>
      <w:r w:rsidRPr="00AE3E3E">
        <w:rPr>
          <w:rFonts w:eastAsia="Calibri" w:cs="Times New Roman"/>
          <w:i/>
        </w:rPr>
        <w:t>Journal of Occupational Health Psychology, 5</w:t>
      </w:r>
      <w:r w:rsidRPr="00AE3E3E">
        <w:rPr>
          <w:rFonts w:eastAsia="Calibri" w:cs="Times New Roman"/>
        </w:rPr>
        <w:t>, 156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163. </w:t>
      </w:r>
      <w:hyperlink r:id="rId15" w:history="1">
        <w:r w:rsidRPr="00AE3E3E">
          <w:rPr>
            <w:rFonts w:eastAsia="Calibri" w:cs="Times New Roman"/>
            <w:color w:val="0000FF"/>
            <w:u w:val="single"/>
          </w:rPr>
          <w:t>http://dx.doi.org/10.1037/1076-8998.5.1.156</w:t>
        </w:r>
      </w:hyperlink>
      <w:r w:rsidRPr="00AE3E3E">
        <w:rPr>
          <w:rFonts w:eastAsia="Calibri" w:cs="Times New Roman"/>
        </w:rPr>
        <w:t xml:space="preserve"> </w:t>
      </w:r>
    </w:p>
    <w:p w14:paraId="3CA42B1B" w14:textId="03314D5D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Bond, F. W</w:t>
      </w:r>
      <w:r w:rsidRPr="00AE3E3E">
        <w:rPr>
          <w:rFonts w:eastAsia="Calibri" w:cs="Times New Roman"/>
        </w:rPr>
        <w:t xml:space="preserve">., &amp; Bunce, D. (2003). The role of acceptance and job control in mental health, job satisfaction, and work performance. </w:t>
      </w:r>
      <w:r w:rsidRPr="00AE3E3E">
        <w:rPr>
          <w:rFonts w:eastAsia="Calibri" w:cs="Times New Roman"/>
          <w:i/>
        </w:rPr>
        <w:t>Journal of Applied Psychology, 88</w:t>
      </w:r>
      <w:r w:rsidRPr="00AE3E3E">
        <w:rPr>
          <w:rFonts w:eastAsia="Calibri" w:cs="Times New Roman"/>
        </w:rPr>
        <w:t>, 1057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1067. </w:t>
      </w:r>
      <w:hyperlink r:id="rId16" w:history="1">
        <w:r w:rsidRPr="00AE3E3E">
          <w:rPr>
            <w:rFonts w:eastAsia="Calibri" w:cs="Times New Roman"/>
            <w:color w:val="0000FF"/>
            <w:u w:val="single"/>
          </w:rPr>
          <w:t>http://dx.doi.org/10.1037/0021-9010.88.6.1057</w:t>
        </w:r>
      </w:hyperlink>
      <w:r w:rsidRPr="00AE3E3E">
        <w:rPr>
          <w:rFonts w:eastAsia="Calibri" w:cs="Times New Roman"/>
        </w:rPr>
        <w:t xml:space="preserve"> </w:t>
      </w:r>
    </w:p>
    <w:p w14:paraId="01167F2F" w14:textId="3F47E7BD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Bradshaw, C. P</w:t>
      </w:r>
      <w:r w:rsidRPr="00AE3E3E">
        <w:rPr>
          <w:rFonts w:eastAsia="Calibri" w:cs="Times New Roman"/>
        </w:rPr>
        <w:t xml:space="preserve">., Koth, C. W., Bevans, K. B., Ialongo, N., &amp; Leaf, P. J. (2008). The impact of </w:t>
      </w:r>
      <w:r w:rsidR="00B360C8">
        <w:rPr>
          <w:rFonts w:eastAsia="Calibri" w:cs="Times New Roman"/>
        </w:rPr>
        <w:t>s</w:t>
      </w:r>
      <w:r w:rsidR="00B360C8" w:rsidRPr="00AE3E3E">
        <w:rPr>
          <w:rFonts w:eastAsia="Calibri" w:cs="Times New Roman"/>
        </w:rPr>
        <w:t>chool</w:t>
      </w:r>
      <w:r w:rsidRPr="00AE3E3E">
        <w:rPr>
          <w:rFonts w:eastAsia="Calibri" w:cs="Times New Roman"/>
        </w:rPr>
        <w:t>-</w:t>
      </w:r>
      <w:r w:rsidR="00B360C8">
        <w:rPr>
          <w:rFonts w:eastAsia="Calibri" w:cs="Times New Roman"/>
        </w:rPr>
        <w:t>w</w:t>
      </w:r>
      <w:r w:rsidR="00B360C8" w:rsidRPr="00AE3E3E">
        <w:rPr>
          <w:rFonts w:eastAsia="Calibri" w:cs="Times New Roman"/>
        </w:rPr>
        <w:t xml:space="preserve">ide </w:t>
      </w:r>
      <w:r w:rsidR="00B360C8">
        <w:rPr>
          <w:rFonts w:eastAsia="Calibri" w:cs="Times New Roman"/>
        </w:rPr>
        <w:t>p</w:t>
      </w:r>
      <w:r w:rsidR="00B360C8" w:rsidRPr="00AE3E3E">
        <w:rPr>
          <w:rFonts w:eastAsia="Calibri" w:cs="Times New Roman"/>
        </w:rPr>
        <w:t xml:space="preserve">ositive </w:t>
      </w:r>
      <w:r w:rsidR="00B360C8">
        <w:rPr>
          <w:rFonts w:eastAsia="Calibri" w:cs="Times New Roman"/>
        </w:rPr>
        <w:t>b</w:t>
      </w:r>
      <w:r w:rsidR="00B360C8" w:rsidRPr="00AE3E3E">
        <w:rPr>
          <w:rFonts w:eastAsia="Calibri" w:cs="Times New Roman"/>
        </w:rPr>
        <w:t xml:space="preserve">ehavioral </w:t>
      </w:r>
      <w:r w:rsidR="00B360C8">
        <w:rPr>
          <w:rFonts w:eastAsia="Calibri" w:cs="Times New Roman"/>
        </w:rPr>
        <w:t>i</w:t>
      </w:r>
      <w:r w:rsidR="00B360C8" w:rsidRPr="00AE3E3E">
        <w:rPr>
          <w:rFonts w:eastAsia="Calibri" w:cs="Times New Roman"/>
        </w:rPr>
        <w:t xml:space="preserve">nterventions </w:t>
      </w:r>
      <w:r w:rsidRPr="00AE3E3E">
        <w:rPr>
          <w:rFonts w:eastAsia="Calibri" w:cs="Times New Roman"/>
        </w:rPr>
        <w:t xml:space="preserve">and </w:t>
      </w:r>
      <w:r w:rsidR="00B360C8">
        <w:rPr>
          <w:rFonts w:eastAsia="Calibri" w:cs="Times New Roman"/>
        </w:rPr>
        <w:t>s</w:t>
      </w:r>
      <w:r w:rsidR="00B360C8" w:rsidRPr="00AE3E3E">
        <w:rPr>
          <w:rFonts w:eastAsia="Calibri" w:cs="Times New Roman"/>
        </w:rPr>
        <w:t xml:space="preserve">upports </w:t>
      </w:r>
      <w:r w:rsidRPr="00AE3E3E">
        <w:rPr>
          <w:rFonts w:eastAsia="Calibri" w:cs="Times New Roman"/>
        </w:rPr>
        <w:t xml:space="preserve">(PBIS) on the organizational health of elementary schools. </w:t>
      </w:r>
      <w:r w:rsidRPr="00AE3E3E">
        <w:rPr>
          <w:rFonts w:eastAsia="Calibri" w:cs="Times New Roman"/>
          <w:i/>
        </w:rPr>
        <w:t>School Psychology Quarterly, 23</w:t>
      </w:r>
      <w:r w:rsidRPr="00AE3E3E">
        <w:rPr>
          <w:rFonts w:eastAsia="Calibri" w:cs="Times New Roman"/>
        </w:rPr>
        <w:t>, 462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473. </w:t>
      </w:r>
      <w:hyperlink r:id="rId17" w:history="1">
        <w:r w:rsidRPr="00AE3E3E">
          <w:rPr>
            <w:rFonts w:eastAsia="Calibri" w:cs="Times New Roman"/>
            <w:color w:val="0000FF"/>
            <w:u w:val="single"/>
          </w:rPr>
          <w:t>http://dx.doi.org/10.1037/a0012883</w:t>
        </w:r>
      </w:hyperlink>
      <w:r w:rsidRPr="00AE3E3E">
        <w:rPr>
          <w:rFonts w:eastAsia="Calibri" w:cs="Times New Roman"/>
        </w:rPr>
        <w:t xml:space="preserve"> </w:t>
      </w:r>
    </w:p>
    <w:p w14:paraId="5719CF6B" w14:textId="449220CA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Bradshaw, C. </w:t>
      </w:r>
      <w:r w:rsidRPr="00AE3E3E">
        <w:rPr>
          <w:rFonts w:eastAsia="Calibri" w:cs="Times New Roman"/>
        </w:rPr>
        <w:t xml:space="preserve">P., Mitchell, M. M., &amp; Leaf, P. J. (2010). Examining the effects of schoolwide positive behavioral interventions and supports on student outcomes: Results from a randomized controlled effectiveness trial in elementary schools. </w:t>
      </w:r>
      <w:r w:rsidRPr="00AE3E3E">
        <w:rPr>
          <w:rFonts w:eastAsia="Calibri" w:cs="Times New Roman"/>
          <w:i/>
        </w:rPr>
        <w:t>Journal of Positive Behavior Interventions, 12</w:t>
      </w:r>
      <w:r w:rsidRPr="00AE3E3E">
        <w:rPr>
          <w:rFonts w:eastAsia="Calibri" w:cs="Times New Roman"/>
        </w:rPr>
        <w:t>, 133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148. </w:t>
      </w:r>
      <w:hyperlink r:id="rId18" w:history="1">
        <w:r w:rsidRPr="00AE3E3E">
          <w:rPr>
            <w:rFonts w:eastAsia="Calibri" w:cs="Times New Roman"/>
            <w:color w:val="0000FF"/>
            <w:u w:val="single"/>
          </w:rPr>
          <w:t>https://doi.org/10.1177/1098300709334798</w:t>
        </w:r>
      </w:hyperlink>
      <w:r w:rsidRPr="00AE3E3E">
        <w:rPr>
          <w:rFonts w:eastAsia="Calibri" w:cs="Times New Roman"/>
        </w:rPr>
        <w:t xml:space="preserve"> </w:t>
      </w:r>
    </w:p>
    <w:p w14:paraId="14370F32" w14:textId="7A7DCAD0" w:rsidR="004B194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Bradshaw, C. </w:t>
      </w:r>
      <w:r w:rsidRPr="00AE3E3E">
        <w:rPr>
          <w:rFonts w:eastAsia="Calibri" w:cs="Times New Roman"/>
        </w:rPr>
        <w:t xml:space="preserve">P., Pas, E. T., Bloom, J., Barrett, S., Hershfeldt, P., Alexander, A., ... Leaf, P. J. (2012). A state-wide partnership to promote safe and supportive schools: The PBIS Maryland initiative. </w:t>
      </w:r>
      <w:r w:rsidRPr="00AE3E3E">
        <w:rPr>
          <w:rFonts w:eastAsia="Calibri" w:cs="Times New Roman"/>
          <w:i/>
        </w:rPr>
        <w:t>Administration and Policy in Mental Health and Mental Health Services Research, 39</w:t>
      </w:r>
      <w:r w:rsidRPr="00AE3E3E">
        <w:rPr>
          <w:rFonts w:eastAsia="Calibri" w:cs="Times New Roman"/>
        </w:rPr>
        <w:t>, 225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237. </w:t>
      </w:r>
      <w:hyperlink r:id="rId19" w:history="1">
        <w:r w:rsidRPr="00AE3E3E">
          <w:rPr>
            <w:rFonts w:eastAsia="Calibri" w:cs="Times New Roman"/>
            <w:color w:val="0000FF"/>
            <w:u w:val="single"/>
          </w:rPr>
          <w:t>https://doi.org/10.1007/s10488-011-0384-6</w:t>
        </w:r>
      </w:hyperlink>
      <w:r w:rsidRPr="00AE3E3E">
        <w:rPr>
          <w:rFonts w:eastAsia="Calibri" w:cs="Times New Roman"/>
        </w:rPr>
        <w:t xml:space="preserve"> </w:t>
      </w:r>
    </w:p>
    <w:p w14:paraId="3D9351EC" w14:textId="4F31A85E" w:rsidR="00F218BB" w:rsidRDefault="00090A5D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Brownson, </w:t>
      </w:r>
      <w:r w:rsidRPr="00090A5D">
        <w:rPr>
          <w:rFonts w:eastAsia="Calibri" w:cs="Times New Roman"/>
        </w:rPr>
        <w:t>R.</w:t>
      </w:r>
      <w:r w:rsidR="00ED533C">
        <w:rPr>
          <w:rFonts w:eastAsia="Calibri" w:cs="Times New Roman"/>
        </w:rPr>
        <w:t xml:space="preserve"> </w:t>
      </w:r>
      <w:r w:rsidRPr="00090A5D">
        <w:rPr>
          <w:rFonts w:eastAsia="Calibri" w:cs="Times New Roman"/>
        </w:rPr>
        <w:t>C., Colditz, G.</w:t>
      </w:r>
      <w:r w:rsidR="00ED533C">
        <w:rPr>
          <w:rFonts w:eastAsia="Calibri" w:cs="Times New Roman"/>
        </w:rPr>
        <w:t xml:space="preserve"> </w:t>
      </w:r>
      <w:r w:rsidRPr="00090A5D">
        <w:rPr>
          <w:rFonts w:eastAsia="Calibri" w:cs="Times New Roman"/>
        </w:rPr>
        <w:t>A., &amp; Pr</w:t>
      </w:r>
      <w:r w:rsidRPr="00B04406">
        <w:rPr>
          <w:rFonts w:eastAsia="Calibri" w:cs="Times New Roman"/>
        </w:rPr>
        <w:t>o</w:t>
      </w:r>
      <w:r>
        <w:rPr>
          <w:rFonts w:eastAsia="Calibri" w:cs="Times New Roman"/>
        </w:rPr>
        <w:t>ctor, E.</w:t>
      </w:r>
      <w:r w:rsidR="00ED53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K. (Eds.) (2018). </w:t>
      </w:r>
      <w:r w:rsidRPr="00F218BB">
        <w:rPr>
          <w:rFonts w:eastAsia="Calibri" w:cs="Times New Roman"/>
          <w:i/>
        </w:rPr>
        <w:t>Dissemination and implementation research in health</w:t>
      </w:r>
      <w:r w:rsidR="003E50DB" w:rsidRPr="00F218BB">
        <w:rPr>
          <w:rFonts w:eastAsia="Calibri" w:cs="Times New Roman"/>
          <w:i/>
        </w:rPr>
        <w:t>: Translating science to practice</w:t>
      </w:r>
      <w:r w:rsidR="003E50DB">
        <w:rPr>
          <w:rFonts w:eastAsia="Calibri" w:cs="Times New Roman"/>
        </w:rPr>
        <w:t>. New York</w:t>
      </w:r>
      <w:r w:rsidR="00ED533C">
        <w:rPr>
          <w:rFonts w:eastAsia="Calibri" w:cs="Times New Roman"/>
        </w:rPr>
        <w:t>, NY</w:t>
      </w:r>
      <w:r w:rsidR="003E50DB">
        <w:rPr>
          <w:rFonts w:eastAsia="Calibri" w:cs="Times New Roman"/>
        </w:rPr>
        <w:t>: Oxford.</w:t>
      </w:r>
    </w:p>
    <w:p w14:paraId="1F4EAF82" w14:textId="46DA8A3E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Bus, A. G., van </w:t>
      </w:r>
      <w:r w:rsidRPr="00AE3E3E">
        <w:rPr>
          <w:rFonts w:eastAsia="Calibri" w:cs="Times New Roman"/>
        </w:rPr>
        <w:t xml:space="preserve">IJzendoorn, M. H., &amp; Pellegrini, A. D. (1995). Joint book reading makes for success in learning to read: A meta-analysis on intergenerational transmission of literacy. </w:t>
      </w:r>
      <w:r w:rsidRPr="00AE3E3E">
        <w:rPr>
          <w:rFonts w:eastAsia="Calibri" w:cs="Times New Roman"/>
          <w:i/>
        </w:rPr>
        <w:t xml:space="preserve">Review of Educational Research, 65, </w:t>
      </w:r>
      <w:r w:rsidRPr="00AE3E3E">
        <w:rPr>
          <w:rFonts w:eastAsia="Calibri" w:cs="Times New Roman"/>
        </w:rPr>
        <w:t>1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21. </w:t>
      </w:r>
      <w:hyperlink r:id="rId20" w:history="1">
        <w:r w:rsidR="00FA0D0B" w:rsidRPr="00FA0D0B">
          <w:rPr>
            <w:color w:val="0000FF"/>
            <w:u w:val="single"/>
          </w:rPr>
          <w:t>https://doi.org/10.3102/00346543065001001</w:t>
        </w:r>
      </w:hyperlink>
    </w:p>
    <w:p w14:paraId="28AFC680" w14:textId="48F64FF4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Buscemi, J., Bennett</w:t>
      </w:r>
      <w:r w:rsidRPr="00AE3E3E">
        <w:rPr>
          <w:rFonts w:eastAsia="Calibri" w:cs="Times New Roman"/>
        </w:rPr>
        <w:t xml:space="preserve">, G. G., Gorin, S. S., Pagoto, S. L., Sallis, J. F., Wilson, D. K., &amp; Fitzgibbon, M. L. (2017). A 6-year update of the health policy and advocacy priorities of the Society of Behavioral Medicine. </w:t>
      </w:r>
      <w:r w:rsidRPr="00AE3E3E">
        <w:rPr>
          <w:rFonts w:eastAsia="Calibri" w:cs="Times New Roman"/>
          <w:i/>
        </w:rPr>
        <w:t>Translational Behavioral Medicine</w:t>
      </w:r>
      <w:r w:rsidRPr="00AE3E3E">
        <w:rPr>
          <w:rFonts w:eastAsia="Calibri" w:cs="Times New Roman"/>
        </w:rPr>
        <w:t xml:space="preserve">, </w:t>
      </w:r>
      <w:r w:rsidR="00F218BB" w:rsidRPr="00F218BB">
        <w:rPr>
          <w:rFonts w:eastAsia="Calibri" w:cs="Times New Roman"/>
          <w:i/>
        </w:rPr>
        <w:t>7</w:t>
      </w:r>
      <w:r w:rsidR="00F218BB">
        <w:rPr>
          <w:rFonts w:eastAsia="Calibri" w:cs="Times New Roman"/>
        </w:rPr>
        <w:t>, 903</w:t>
      </w:r>
      <w:r w:rsidR="00C84462">
        <w:rPr>
          <w:rFonts w:eastAsia="Calibri" w:cs="Times New Roman"/>
        </w:rPr>
        <w:t>–</w:t>
      </w:r>
      <w:r w:rsidR="00F218BB">
        <w:rPr>
          <w:rFonts w:eastAsia="Calibri" w:cs="Times New Roman"/>
        </w:rPr>
        <w:t>911</w:t>
      </w:r>
      <w:r w:rsidRPr="00AE3E3E">
        <w:rPr>
          <w:rFonts w:eastAsia="Calibri" w:cs="Times New Roman"/>
        </w:rPr>
        <w:t xml:space="preserve">. </w:t>
      </w:r>
      <w:hyperlink r:id="rId21" w:history="1">
        <w:r w:rsidR="00F218BB" w:rsidRPr="00325A95">
          <w:rPr>
            <w:color w:val="0000FF"/>
            <w:u w:val="single"/>
          </w:rPr>
          <w:t>http://doi.org/10.1007/s13142-017-0507-z</w:t>
        </w:r>
      </w:hyperlink>
    </w:p>
    <w:p w14:paraId="7A5EDFC8" w14:textId="2C661EE8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Carr, E. G</w:t>
      </w:r>
      <w:r w:rsidRPr="00AE3E3E">
        <w:rPr>
          <w:rFonts w:eastAsia="Calibri" w:cs="Times New Roman"/>
        </w:rPr>
        <w:t xml:space="preserve">., &amp; Horner, R. H. (2007). The expanding vision of positive behavior support: Research perspectives on happiness, helpfulness, hopefulness. </w:t>
      </w:r>
      <w:r w:rsidRPr="00AE3E3E">
        <w:rPr>
          <w:rFonts w:eastAsia="Calibri" w:cs="Times New Roman"/>
          <w:i/>
        </w:rPr>
        <w:t>Journal of Positive Behavior Interventions, 9</w:t>
      </w:r>
      <w:r w:rsidRPr="00AE3E3E">
        <w:rPr>
          <w:rFonts w:eastAsia="Calibri" w:cs="Times New Roman"/>
        </w:rPr>
        <w:t>, 3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14. </w:t>
      </w:r>
      <w:hyperlink r:id="rId22" w:history="1">
        <w:r w:rsidRPr="00AE3E3E">
          <w:rPr>
            <w:rFonts w:eastAsia="Calibri" w:cs="Times New Roman"/>
            <w:color w:val="0000FF"/>
            <w:u w:val="single"/>
          </w:rPr>
          <w:t>https://doi.org/10.1177/10983007070090010201</w:t>
        </w:r>
      </w:hyperlink>
      <w:r w:rsidRPr="00AE3E3E">
        <w:rPr>
          <w:rFonts w:eastAsia="Calibri" w:cs="Times New Roman"/>
        </w:rPr>
        <w:t xml:space="preserve"> </w:t>
      </w:r>
    </w:p>
    <w:p w14:paraId="24BC0035" w14:textId="64BC66E5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  <w:color w:val="0000FF"/>
          <w:u w:val="single"/>
        </w:rPr>
      </w:pPr>
      <w:r w:rsidRPr="00485FAB">
        <w:rPr>
          <w:rFonts w:eastAsia="Calibri" w:cs="Times New Roman"/>
        </w:rPr>
        <w:t>Chamberlain, P. (2017</w:t>
      </w:r>
      <w:r w:rsidRPr="00AE3E3E">
        <w:rPr>
          <w:rFonts w:eastAsia="Calibri" w:cs="Times New Roman"/>
        </w:rPr>
        <w:t xml:space="preserve">). Toward creating synergy among policy, procedures, and implementation of evidence-based models in child welfare systems: Two case examples. </w:t>
      </w:r>
      <w:r w:rsidRPr="00AE3E3E">
        <w:rPr>
          <w:rFonts w:eastAsia="Calibri" w:cs="Times New Roman"/>
          <w:i/>
        </w:rPr>
        <w:t>Clinical Child and Family Psychology Review, 20</w:t>
      </w:r>
      <w:r w:rsidRPr="00AE3E3E">
        <w:rPr>
          <w:rFonts w:eastAsia="Calibri" w:cs="Times New Roman"/>
        </w:rPr>
        <w:t>, 78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86. </w:t>
      </w:r>
      <w:hyperlink r:id="rId23" w:history="1">
        <w:r w:rsidRPr="00AE3E3E">
          <w:rPr>
            <w:rFonts w:eastAsia="Calibri" w:cs="Times New Roman"/>
            <w:color w:val="0000FF"/>
            <w:u w:val="single"/>
          </w:rPr>
          <w:t>https://doi.org/10.1007/s10567-017-0226-5</w:t>
        </w:r>
      </w:hyperlink>
    </w:p>
    <w:p w14:paraId="5B60B12B" w14:textId="2AC45D5F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Congressional Budget Office. (2012</w:t>
      </w:r>
      <w:r w:rsidRPr="00AE3E3E">
        <w:rPr>
          <w:rFonts w:eastAsia="Calibri" w:cs="Times New Roman"/>
        </w:rPr>
        <w:t xml:space="preserve">). </w:t>
      </w:r>
      <w:r w:rsidRPr="00AE3E3E">
        <w:rPr>
          <w:rFonts w:eastAsia="Calibri" w:cs="Times New Roman"/>
          <w:i/>
        </w:rPr>
        <w:t>Raising the excise tax on cigarettes: Effects on health and the federal budget.</w:t>
      </w:r>
      <w:r w:rsidRPr="00AE3E3E">
        <w:rPr>
          <w:rFonts w:eastAsia="Calibri" w:cs="Times New Roman"/>
        </w:rPr>
        <w:t xml:space="preserve"> </w:t>
      </w:r>
      <w:r w:rsidR="00947900">
        <w:rPr>
          <w:rFonts w:eastAsia="Calibri" w:cs="Times New Roman"/>
        </w:rPr>
        <w:t xml:space="preserve">(CBO </w:t>
      </w:r>
      <w:r w:rsidRPr="00AE3E3E">
        <w:rPr>
          <w:rFonts w:eastAsia="Calibri" w:cs="Times New Roman"/>
        </w:rPr>
        <w:t>Pub</w:t>
      </w:r>
      <w:r w:rsidR="0007668D">
        <w:rPr>
          <w:rFonts w:eastAsia="Calibri" w:cs="Times New Roman"/>
        </w:rPr>
        <w:t>lication</w:t>
      </w:r>
      <w:r w:rsidR="0007668D" w:rsidRPr="00AE3E3E">
        <w:rPr>
          <w:rFonts w:eastAsia="Calibri" w:cs="Times New Roman"/>
        </w:rPr>
        <w:t xml:space="preserve"> </w:t>
      </w:r>
      <w:r w:rsidRPr="00AE3E3E">
        <w:rPr>
          <w:rFonts w:eastAsia="Calibri" w:cs="Times New Roman"/>
        </w:rPr>
        <w:t>No. 4036</w:t>
      </w:r>
      <w:r w:rsidR="0007668D">
        <w:rPr>
          <w:rFonts w:eastAsia="Calibri" w:cs="Times New Roman"/>
        </w:rPr>
        <w:t>)</w:t>
      </w:r>
      <w:r w:rsidRPr="00AE3E3E">
        <w:rPr>
          <w:rFonts w:eastAsia="Calibri" w:cs="Times New Roman"/>
        </w:rPr>
        <w:t xml:space="preserve">. </w:t>
      </w:r>
    </w:p>
    <w:p w14:paraId="27799624" w14:textId="19BC8B1A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Cujipers, P</w:t>
      </w:r>
      <w:r w:rsidRPr="00AE3E3E">
        <w:rPr>
          <w:rFonts w:eastAsia="Calibri" w:cs="Times New Roman"/>
        </w:rPr>
        <w:t>., van Straten.,</w:t>
      </w:r>
      <w:r w:rsidR="005728B7">
        <w:rPr>
          <w:rFonts w:eastAsia="Calibri" w:cs="Times New Roman"/>
        </w:rPr>
        <w:t xml:space="preserve"> A.,</w:t>
      </w:r>
      <w:r w:rsidRPr="00AE3E3E">
        <w:rPr>
          <w:rFonts w:eastAsia="Calibri" w:cs="Times New Roman"/>
        </w:rPr>
        <w:t xml:space="preserve"> &amp; Warmedam, L. (2007). Behavioral activation treatments of depression: A meta-analysis. </w:t>
      </w:r>
      <w:r w:rsidRPr="00AE3E3E">
        <w:rPr>
          <w:rFonts w:eastAsia="Calibri" w:cs="Times New Roman"/>
          <w:i/>
        </w:rPr>
        <w:t>Clinical Psychology Review, 27</w:t>
      </w:r>
      <w:r w:rsidRPr="00AE3E3E">
        <w:rPr>
          <w:rFonts w:eastAsia="Calibri" w:cs="Times New Roman"/>
        </w:rPr>
        <w:t>, 318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326. </w:t>
      </w:r>
      <w:hyperlink r:id="rId24" w:history="1">
        <w:r w:rsidR="00FA0D0B" w:rsidRPr="00FA0D0B">
          <w:rPr>
            <w:color w:val="0000FF"/>
            <w:u w:val="single"/>
          </w:rPr>
          <w:t>https://doi.org/10.1016/j.cpr.2006.11.001</w:t>
        </w:r>
      </w:hyperlink>
    </w:p>
    <w:p w14:paraId="7E819C8B" w14:textId="71311C30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Ehri, L. </w:t>
      </w:r>
      <w:r w:rsidRPr="00AE3E3E">
        <w:rPr>
          <w:rFonts w:eastAsia="Calibri" w:cs="Times New Roman"/>
        </w:rPr>
        <w:t xml:space="preserve">C., Nunes, S. R., Stahl, S. A., &amp; Willows, D. M. (2001). Systematic phonics instruction helps students learn to read: Evidence from the National Reading Panel’s meta-analysis. </w:t>
      </w:r>
      <w:r w:rsidRPr="00AE3E3E">
        <w:rPr>
          <w:rFonts w:eastAsia="Calibri" w:cs="Times New Roman"/>
          <w:i/>
        </w:rPr>
        <w:t xml:space="preserve">Review of Educational Research, 71, </w:t>
      </w:r>
      <w:r w:rsidRPr="00AE3E3E">
        <w:rPr>
          <w:rFonts w:eastAsia="Calibri" w:cs="Times New Roman"/>
        </w:rPr>
        <w:t>393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447. </w:t>
      </w:r>
      <w:hyperlink r:id="rId25" w:history="1">
        <w:r w:rsidR="00FA0D0B" w:rsidRPr="00FA0D0B">
          <w:rPr>
            <w:color w:val="0000FF"/>
            <w:u w:val="single"/>
          </w:rPr>
          <w:t>https://doi.org/10.3102/00346543071003393</w:t>
        </w:r>
      </w:hyperlink>
    </w:p>
    <w:p w14:paraId="4D5F8CE9" w14:textId="77777777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Ehri, L. C</w:t>
      </w:r>
      <w:r w:rsidRPr="00AE3E3E">
        <w:rPr>
          <w:rFonts w:eastAsia="Calibri" w:cs="Times New Roman"/>
        </w:rPr>
        <w:t xml:space="preserve">., Nunes, S. R., Willows, D. M., Schuster, B. V., Yaghoub-Zadeh, Z., &amp; Shanahan, T. (2001). Phonemic awareness instruction helps children learn to read: Evidence from the National Reading Panel's meta-analysis. </w:t>
      </w:r>
      <w:r w:rsidRPr="00AE3E3E">
        <w:rPr>
          <w:rFonts w:eastAsia="Calibri" w:cs="Times New Roman"/>
          <w:i/>
        </w:rPr>
        <w:t>Reading Research Quarterly, 36</w:t>
      </w:r>
      <w:r w:rsidRPr="00AE3E3E">
        <w:rPr>
          <w:rFonts w:eastAsia="Calibri" w:cs="Times New Roman"/>
        </w:rPr>
        <w:t xml:space="preserve">, 250–287. </w:t>
      </w:r>
      <w:hyperlink r:id="rId26" w:history="1">
        <w:r w:rsidRPr="00AE3E3E">
          <w:rPr>
            <w:rFonts w:eastAsia="Calibri" w:cs="Times New Roman"/>
            <w:color w:val="0000FF"/>
            <w:u w:val="single"/>
          </w:rPr>
          <w:t>http://doi.org/10.1598/RRQ.36.3.2</w:t>
        </w:r>
      </w:hyperlink>
    </w:p>
    <w:p w14:paraId="533CEC56" w14:textId="77777777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Englemann, S., &amp; </w:t>
      </w:r>
      <w:r w:rsidRPr="00AE3E3E">
        <w:rPr>
          <w:rFonts w:eastAsia="Calibri" w:cs="Times New Roman"/>
        </w:rPr>
        <w:t xml:space="preserve">Carnine, D. (2016). </w:t>
      </w:r>
      <w:r w:rsidRPr="00AE3E3E">
        <w:rPr>
          <w:rFonts w:eastAsia="Calibri" w:cs="Times New Roman"/>
          <w:i/>
        </w:rPr>
        <w:t xml:space="preserve">Could John Stuart Mill have saved our schools? </w:t>
      </w:r>
      <w:r w:rsidRPr="00AE3E3E">
        <w:rPr>
          <w:rFonts w:eastAsia="Calibri" w:cs="Times New Roman"/>
        </w:rPr>
        <w:t>Verona, WI: Full Court Press.</w:t>
      </w:r>
    </w:p>
    <w:p w14:paraId="63437BED" w14:textId="76CB2503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  <w:highlight w:val="yellow"/>
        </w:rPr>
      </w:pPr>
      <w:r w:rsidRPr="00485FAB">
        <w:rPr>
          <w:rFonts w:eastAsia="Calibri" w:cs="Times New Roman"/>
        </w:rPr>
        <w:t xml:space="preserve">Felitti, V. J., </w:t>
      </w:r>
      <w:r w:rsidRPr="00AE3E3E">
        <w:rPr>
          <w:rFonts w:eastAsia="Calibri" w:cs="Times New Roman"/>
        </w:rPr>
        <w:t xml:space="preserve">Anda, R. J., Nordenberg, D., Williamson, D. F., Spitz, A. M., Edwards, V., </w:t>
      </w:r>
      <w:r w:rsidR="0007668D">
        <w:rPr>
          <w:rFonts w:eastAsia="Calibri" w:cs="Times New Roman"/>
        </w:rPr>
        <w:t xml:space="preserve">… </w:t>
      </w:r>
      <w:r w:rsidRPr="00AE3E3E">
        <w:rPr>
          <w:rFonts w:eastAsia="Calibri" w:cs="Times New Roman"/>
        </w:rPr>
        <w:t>Marks, J. S. (1998). Relationship of childhood abuse and household dysfunction to many of the leading causes of death in adults</w:t>
      </w:r>
      <w:r w:rsidR="007460BB">
        <w:rPr>
          <w:rFonts w:eastAsia="Calibri" w:cs="Times New Roman"/>
        </w:rPr>
        <w:t>:</w:t>
      </w:r>
      <w:r w:rsidR="007460BB" w:rsidRPr="00AE3E3E">
        <w:rPr>
          <w:rFonts w:eastAsia="Calibri" w:cs="Times New Roman"/>
        </w:rPr>
        <w:t xml:space="preserve"> </w:t>
      </w:r>
      <w:r w:rsidRPr="00AE3E3E">
        <w:rPr>
          <w:rFonts w:eastAsia="Calibri" w:cs="Times New Roman"/>
        </w:rPr>
        <w:t xml:space="preserve">The Adverse Childhood Experiences (ACE) Study. </w:t>
      </w:r>
      <w:r w:rsidRPr="00AE3E3E">
        <w:rPr>
          <w:rFonts w:eastAsia="Calibri" w:cs="Times New Roman"/>
          <w:i/>
        </w:rPr>
        <w:t>American Journal of Preventative Medicine, 14</w:t>
      </w:r>
      <w:r w:rsidRPr="00AE3E3E">
        <w:rPr>
          <w:rFonts w:eastAsia="Calibri" w:cs="Times New Roman"/>
        </w:rPr>
        <w:t xml:space="preserve">, 245–258. </w:t>
      </w:r>
      <w:hyperlink r:id="rId27" w:history="1">
        <w:r w:rsidR="00F218BB" w:rsidRPr="00F218BB">
          <w:rPr>
            <w:color w:val="0000FF"/>
            <w:u w:val="single"/>
          </w:rPr>
          <w:t>https://doi.org/10.1016/S0749-3797(98)00017-8</w:t>
        </w:r>
      </w:hyperlink>
      <w:r w:rsidRPr="00F218BB">
        <w:rPr>
          <w:rFonts w:eastAsia="Calibri" w:cs="Times New Roman"/>
          <w:color w:val="0000FF"/>
          <w:u w:val="single"/>
        </w:rPr>
        <w:t xml:space="preserve"> </w:t>
      </w:r>
    </w:p>
    <w:p w14:paraId="3451D735" w14:textId="6A57CEA3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Flaxman, P. E., </w:t>
      </w:r>
      <w:r w:rsidRPr="00AE3E3E">
        <w:rPr>
          <w:rFonts w:eastAsia="Calibri" w:cs="Times New Roman"/>
        </w:rPr>
        <w:t xml:space="preserve">&amp; Bond, F. W. (2010). Worksite stress management training: Moderated effects and clinical significance. </w:t>
      </w:r>
      <w:r w:rsidRPr="00AE3E3E">
        <w:rPr>
          <w:rFonts w:eastAsia="Calibri" w:cs="Times New Roman"/>
          <w:i/>
        </w:rPr>
        <w:t>Journal of Occupational Health Psychology, 15</w:t>
      </w:r>
      <w:r w:rsidRPr="00AE3E3E">
        <w:rPr>
          <w:rFonts w:eastAsia="Calibri" w:cs="Times New Roman"/>
        </w:rPr>
        <w:t>, 347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358. </w:t>
      </w:r>
      <w:hyperlink r:id="rId28" w:history="1">
        <w:r w:rsidRPr="00AE3E3E">
          <w:rPr>
            <w:rFonts w:eastAsia="Calibri" w:cs="Times New Roman"/>
            <w:color w:val="0000FF"/>
            <w:u w:val="single"/>
          </w:rPr>
          <w:t>http://dx.doi.org/10.1037/a0020522</w:t>
        </w:r>
      </w:hyperlink>
      <w:r w:rsidRPr="00AE3E3E">
        <w:rPr>
          <w:rFonts w:eastAsia="Calibri" w:cs="Times New Roman"/>
        </w:rPr>
        <w:t xml:space="preserve"> </w:t>
      </w:r>
    </w:p>
    <w:p w14:paraId="42B9E8B7" w14:textId="459F2871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  <w:lang w:val="fr-FR"/>
        </w:rPr>
      </w:pPr>
      <w:r w:rsidRPr="00485FAB">
        <w:rPr>
          <w:rFonts w:eastAsia="Calibri" w:cs="Times New Roman"/>
        </w:rPr>
        <w:t xml:space="preserve">Forgatch, M. S., Patterson, G. </w:t>
      </w:r>
      <w:r w:rsidRPr="00AE3E3E">
        <w:rPr>
          <w:rFonts w:eastAsia="Calibri" w:cs="Times New Roman"/>
        </w:rPr>
        <w:t xml:space="preserve">R., &amp; Gewirtz, A. H. (2013). Looking forward: The promise of widespread implementation of parent training programs. </w:t>
      </w:r>
      <w:r w:rsidRPr="00AE3E3E">
        <w:rPr>
          <w:rFonts w:eastAsia="Calibri" w:cs="Times New Roman"/>
          <w:i/>
          <w:lang w:val="fr-FR"/>
        </w:rPr>
        <w:t xml:space="preserve">Perspectives on </w:t>
      </w:r>
      <w:r w:rsidRPr="00FA0D0B">
        <w:rPr>
          <w:rFonts w:eastAsia="Calibri" w:cs="Times New Roman"/>
          <w:i/>
        </w:rPr>
        <w:t>Psychological</w:t>
      </w:r>
      <w:r w:rsidRPr="00AE3E3E">
        <w:rPr>
          <w:rFonts w:eastAsia="Calibri" w:cs="Times New Roman"/>
          <w:i/>
          <w:lang w:val="fr-FR"/>
        </w:rPr>
        <w:t xml:space="preserve"> Science, 8</w:t>
      </w:r>
      <w:r w:rsidRPr="00AE3E3E">
        <w:rPr>
          <w:rFonts w:eastAsia="Calibri" w:cs="Times New Roman"/>
          <w:lang w:val="fr-FR"/>
        </w:rPr>
        <w:t>, 682</w:t>
      </w:r>
      <w:r w:rsidR="007460BB">
        <w:rPr>
          <w:rFonts w:eastAsia="Calibri" w:cs="Times New Roman"/>
        </w:rPr>
        <w:t>–</w:t>
      </w:r>
      <w:r w:rsidRPr="00AE3E3E">
        <w:rPr>
          <w:rFonts w:eastAsia="Calibri" w:cs="Times New Roman"/>
          <w:lang w:val="fr-FR"/>
        </w:rPr>
        <w:t xml:space="preserve">694. </w:t>
      </w:r>
      <w:hyperlink r:id="rId29" w:history="1">
        <w:r w:rsidRPr="00AE3E3E">
          <w:rPr>
            <w:rFonts w:eastAsia="Calibri" w:cs="Times New Roman"/>
            <w:color w:val="0000FF"/>
            <w:u w:val="single"/>
            <w:lang w:val="fr-FR"/>
          </w:rPr>
          <w:t>https://doi.org/10.1177/1745691613503478</w:t>
        </w:r>
      </w:hyperlink>
    </w:p>
    <w:p w14:paraId="5CAA4234" w14:textId="4C9E0256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  <w:lang w:val="de-DE"/>
        </w:rPr>
      </w:pPr>
      <w:r w:rsidRPr="00485FAB">
        <w:rPr>
          <w:rFonts w:eastAsia="Calibri" w:cs="Times New Roman"/>
        </w:rPr>
        <w:t>Glasgow</w:t>
      </w:r>
      <w:r w:rsidR="0007668D">
        <w:rPr>
          <w:rFonts w:eastAsia="Calibri" w:cs="Times New Roman"/>
        </w:rPr>
        <w:t>,</w:t>
      </w:r>
      <w:r w:rsidRPr="00485FAB">
        <w:rPr>
          <w:rFonts w:eastAsia="Calibri" w:cs="Times New Roman"/>
        </w:rPr>
        <w:t xml:space="preserve"> R. E., </w:t>
      </w:r>
      <w:r w:rsidRPr="00AE3E3E">
        <w:rPr>
          <w:rFonts w:eastAsia="Calibri" w:cs="Times New Roman"/>
        </w:rPr>
        <w:t>Lichtenstein</w:t>
      </w:r>
      <w:r w:rsidR="0007668D">
        <w:rPr>
          <w:rFonts w:eastAsia="Calibri" w:cs="Times New Roman"/>
        </w:rPr>
        <w:t>,</w:t>
      </w:r>
      <w:r w:rsidRPr="00AE3E3E">
        <w:rPr>
          <w:rFonts w:eastAsia="Calibri" w:cs="Times New Roman"/>
        </w:rPr>
        <w:t xml:space="preserve"> E., </w:t>
      </w:r>
      <w:r w:rsidR="0007668D">
        <w:rPr>
          <w:rFonts w:eastAsia="Calibri" w:cs="Times New Roman"/>
        </w:rPr>
        <w:t xml:space="preserve">&amp; </w:t>
      </w:r>
      <w:r w:rsidRPr="00AE3E3E">
        <w:rPr>
          <w:rFonts w:eastAsia="Calibri" w:cs="Times New Roman"/>
        </w:rPr>
        <w:t>Marcus</w:t>
      </w:r>
      <w:r w:rsidR="0007668D">
        <w:rPr>
          <w:rFonts w:eastAsia="Calibri" w:cs="Times New Roman"/>
        </w:rPr>
        <w:t>,</w:t>
      </w:r>
      <w:r w:rsidRPr="00AE3E3E">
        <w:rPr>
          <w:rFonts w:eastAsia="Calibri" w:cs="Times New Roman"/>
        </w:rPr>
        <w:t xml:space="preserve"> A. C. (2003). Why don’t we see more translation of health promotion research to practice? Rethinking the efficacy-to-effectiveness transition. </w:t>
      </w:r>
      <w:r w:rsidRPr="00AE3E3E">
        <w:rPr>
          <w:rFonts w:eastAsia="Calibri" w:cs="Times New Roman"/>
          <w:i/>
        </w:rPr>
        <w:t>American Journal of Public Health, 93</w:t>
      </w:r>
      <w:r w:rsidRPr="00AE3E3E">
        <w:rPr>
          <w:rFonts w:eastAsia="Calibri" w:cs="Times New Roman"/>
        </w:rPr>
        <w:t xml:space="preserve">, 1261–1267. </w:t>
      </w:r>
      <w:hyperlink r:id="rId30" w:history="1">
        <w:r w:rsidRPr="00AE3E3E">
          <w:rPr>
            <w:rFonts w:eastAsia="Calibri" w:cs="Times New Roman"/>
            <w:color w:val="0000FF"/>
            <w:u w:val="single"/>
            <w:lang w:val="de-DE"/>
          </w:rPr>
          <w:t>http://doi.org/10.2105/ajph.93.8.1261</w:t>
        </w:r>
      </w:hyperlink>
    </w:p>
    <w:p w14:paraId="0ABABEF4" w14:textId="05DF601B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  <w:lang w:val="de-DE"/>
        </w:rPr>
        <w:t>Greenwood, C. R</w:t>
      </w:r>
      <w:r w:rsidRPr="00AE3E3E">
        <w:rPr>
          <w:rFonts w:eastAsia="Calibri" w:cs="Times New Roman"/>
          <w:lang w:val="de-DE"/>
        </w:rPr>
        <w:t xml:space="preserve">., Delquadri, J. C., &amp; Hall, R. V. (1989). </w:t>
      </w:r>
      <w:r w:rsidRPr="00AE3E3E">
        <w:rPr>
          <w:rFonts w:eastAsia="Calibri" w:cs="Times New Roman"/>
        </w:rPr>
        <w:t xml:space="preserve">Longitudinal effects of classwide peer tutoring. </w:t>
      </w:r>
      <w:r w:rsidRPr="00AE3E3E">
        <w:rPr>
          <w:rFonts w:eastAsia="Calibri" w:cs="Times New Roman"/>
          <w:i/>
        </w:rPr>
        <w:t>Journal of Educational Psychology, 81</w:t>
      </w:r>
      <w:r w:rsidRPr="00AE3E3E">
        <w:rPr>
          <w:rFonts w:eastAsia="Calibri" w:cs="Times New Roman"/>
        </w:rPr>
        <w:t>, 371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383. </w:t>
      </w:r>
      <w:hyperlink r:id="rId31" w:history="1">
        <w:r w:rsidRPr="00AE3E3E">
          <w:rPr>
            <w:rFonts w:eastAsia="Calibri" w:cs="Times New Roman"/>
            <w:color w:val="0000FF"/>
            <w:u w:val="single"/>
          </w:rPr>
          <w:t>http://dx.doi.org/10.1037/</w:t>
        </w:r>
        <w:r w:rsidRPr="00AE3E3E">
          <w:rPr>
            <w:rFonts w:eastAsia="Calibri" w:cs="Times New Roman"/>
            <w:color w:val="0000FF"/>
            <w:u w:val="single"/>
          </w:rPr>
          <w:br w:type="textWrapping" w:clear="all"/>
          <w:t>0022-0663.81.3.371</w:t>
        </w:r>
      </w:hyperlink>
    </w:p>
    <w:p w14:paraId="393C45FF" w14:textId="6576923F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Hawkins, J. D</w:t>
      </w:r>
      <w:r w:rsidRPr="00AE3E3E">
        <w:rPr>
          <w:rFonts w:eastAsia="Calibri" w:cs="Times New Roman"/>
        </w:rPr>
        <w:t xml:space="preserve">., Oesterle, S., Brown, E. C., Monahan, K. C., Abbott, R. D., Arthur, M. W., &amp; Catalano, R. F. (2012). Sustained decreases in risk exposure and youth problem behaviors after installation of the Communities That Care prevention system in a randomized trial. </w:t>
      </w:r>
      <w:r w:rsidRPr="00AE3E3E">
        <w:rPr>
          <w:rFonts w:eastAsia="Calibri" w:cs="Times New Roman"/>
          <w:i/>
        </w:rPr>
        <w:t>Archives of Pediatrics &amp; Adolescent Medicine, 166</w:t>
      </w:r>
      <w:r w:rsidRPr="00AE3E3E">
        <w:rPr>
          <w:rFonts w:eastAsia="Calibri" w:cs="Times New Roman"/>
        </w:rPr>
        <w:t>, 141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148. </w:t>
      </w:r>
      <w:hyperlink r:id="rId32" w:history="1">
        <w:r w:rsidRPr="00AE3E3E">
          <w:rPr>
            <w:rFonts w:eastAsia="Calibri" w:cs="Times New Roman"/>
            <w:color w:val="0000FF"/>
            <w:u w:val="single"/>
          </w:rPr>
          <w:t>http://doi.org/10.1001/archpediatrics.2011.183</w:t>
        </w:r>
      </w:hyperlink>
    </w:p>
    <w:p w14:paraId="5796E308" w14:textId="642B8937" w:rsidR="004B194E" w:rsidRPr="00485FAB" w:rsidRDefault="004B194E" w:rsidP="00AE3E3E">
      <w:pPr>
        <w:spacing w:after="120" w:line="240" w:lineRule="auto"/>
        <w:ind w:left="720" w:hanging="720"/>
        <w:rPr>
          <w:rFonts w:eastAsia="Calibri" w:cs="Times New Roman"/>
          <w:lang w:val="fr-FR"/>
        </w:rPr>
      </w:pPr>
      <w:r w:rsidRPr="00485FAB">
        <w:rPr>
          <w:rFonts w:eastAsia="Calibri" w:cs="Times New Roman"/>
        </w:rPr>
        <w:t xml:space="preserve">Heath, G. </w:t>
      </w:r>
      <w:r w:rsidRPr="00AE3E3E">
        <w:rPr>
          <w:rFonts w:eastAsia="Calibri" w:cs="Times New Roman"/>
        </w:rPr>
        <w:t xml:space="preserve">W., Parra, D. C., Sarmiento, O. L., Andersen, L. B., Owen, N., Goenka, S., ... Lancet Physical Activity Series Working Group. (2012). Evidence-based intervention in physical activity: Lessons from around the world. </w:t>
      </w:r>
      <w:r w:rsidRPr="00485FAB">
        <w:rPr>
          <w:rFonts w:eastAsia="Calibri" w:cs="Times New Roman"/>
          <w:i/>
          <w:lang w:val="fr-FR"/>
        </w:rPr>
        <w:t>The Lancet, 380</w:t>
      </w:r>
      <w:r w:rsidRPr="00485FAB">
        <w:rPr>
          <w:rFonts w:eastAsia="Calibri" w:cs="Times New Roman"/>
          <w:lang w:val="fr-FR"/>
        </w:rPr>
        <w:t>, 272</w:t>
      </w:r>
      <w:r w:rsidR="00C84462">
        <w:rPr>
          <w:rFonts w:eastAsia="Calibri" w:cs="Times New Roman"/>
        </w:rPr>
        <w:t>–</w:t>
      </w:r>
      <w:r w:rsidRPr="00485FAB">
        <w:rPr>
          <w:rFonts w:eastAsia="Calibri" w:cs="Times New Roman"/>
          <w:lang w:val="fr-FR"/>
        </w:rPr>
        <w:t xml:space="preserve">281. </w:t>
      </w:r>
      <w:hyperlink r:id="rId33" w:history="1">
        <w:r w:rsidRPr="00485FAB">
          <w:rPr>
            <w:rFonts w:eastAsia="Calibri" w:cs="Times New Roman"/>
            <w:color w:val="0000FF"/>
            <w:u w:val="single"/>
            <w:lang w:val="fr-FR"/>
          </w:rPr>
          <w:t>http://dx.doi.org/10.1016/</w:t>
        </w:r>
        <w:r w:rsidR="00F218BB">
          <w:rPr>
            <w:rFonts w:eastAsia="Calibri" w:cs="Times New Roman"/>
            <w:color w:val="0000FF"/>
            <w:u w:val="single"/>
            <w:lang w:val="fr-FR"/>
          </w:rPr>
          <w:br w:type="textWrapping" w:clear="all"/>
        </w:r>
        <w:r w:rsidRPr="00485FAB">
          <w:rPr>
            <w:rFonts w:eastAsia="Calibri" w:cs="Times New Roman"/>
            <w:color w:val="0000FF"/>
            <w:u w:val="single"/>
            <w:lang w:val="fr-FR"/>
          </w:rPr>
          <w:t>S0140-6736(12)60816-2</w:t>
        </w:r>
      </w:hyperlink>
    </w:p>
    <w:p w14:paraId="52909DF8" w14:textId="14905618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  <w:lang w:val="fr-FR"/>
        </w:rPr>
        <w:t xml:space="preserve">Jemmott, J. B., Jemmott, L. S., &amp; Fong, G. T. (2010). </w:t>
      </w:r>
      <w:r w:rsidRPr="00AE3E3E">
        <w:rPr>
          <w:rFonts w:eastAsia="Calibri" w:cs="Times New Roman"/>
        </w:rPr>
        <w:t xml:space="preserve">Efficacy of a theory-based abstinence-only intervention over 24 months: </w:t>
      </w:r>
      <w:r w:rsidR="005C4B04">
        <w:rPr>
          <w:rFonts w:eastAsia="Calibri" w:cs="Times New Roman"/>
        </w:rPr>
        <w:t>A</w:t>
      </w:r>
      <w:r w:rsidR="005C4B04" w:rsidRPr="00AE3E3E">
        <w:rPr>
          <w:rFonts w:eastAsia="Calibri" w:cs="Times New Roman"/>
        </w:rPr>
        <w:t xml:space="preserve"> </w:t>
      </w:r>
      <w:r w:rsidRPr="00AE3E3E">
        <w:rPr>
          <w:rFonts w:eastAsia="Calibri" w:cs="Times New Roman"/>
        </w:rPr>
        <w:t xml:space="preserve">randomized controlled trial with young adolescents. </w:t>
      </w:r>
      <w:r w:rsidRPr="00AE3E3E">
        <w:rPr>
          <w:rFonts w:eastAsia="Calibri" w:cs="Times New Roman"/>
          <w:i/>
        </w:rPr>
        <w:t>Archives of Pediatrics &amp; Adolescent Medicine, 164</w:t>
      </w:r>
      <w:r w:rsidRPr="00AE3E3E">
        <w:rPr>
          <w:rFonts w:eastAsia="Calibri" w:cs="Times New Roman"/>
        </w:rPr>
        <w:t>, 152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159. </w:t>
      </w:r>
      <w:hyperlink r:id="rId34" w:history="1">
        <w:r w:rsidRPr="00AE3E3E">
          <w:rPr>
            <w:rFonts w:eastAsia="Calibri" w:cs="Times New Roman"/>
            <w:color w:val="0000FF"/>
            <w:u w:val="single"/>
          </w:rPr>
          <w:t>http://doi.org/10.1001/</w:t>
        </w:r>
        <w:r w:rsidRPr="00AE3E3E">
          <w:rPr>
            <w:rFonts w:eastAsia="Calibri" w:cs="Times New Roman"/>
            <w:color w:val="0000FF"/>
            <w:u w:val="single"/>
          </w:rPr>
          <w:br w:type="textWrapping" w:clear="all"/>
          <w:t>archpediatrics.2009.267</w:t>
        </w:r>
      </w:hyperlink>
    </w:p>
    <w:p w14:paraId="11091ACC" w14:textId="00438DF2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Johnson, </w:t>
      </w:r>
      <w:r w:rsidRPr="00AE3E3E">
        <w:rPr>
          <w:rFonts w:eastAsia="Calibri" w:cs="Times New Roman"/>
        </w:rPr>
        <w:t xml:space="preserve">D. W., &amp; Johnson, R. T. (1987). </w:t>
      </w:r>
      <w:r w:rsidRPr="00AE3E3E">
        <w:rPr>
          <w:rFonts w:eastAsia="Calibri" w:cs="Times New Roman"/>
          <w:i/>
        </w:rPr>
        <w:t>Learning together and alone: Cooperative, competitive, and individualistic learning</w:t>
      </w:r>
      <w:r w:rsidRPr="00325A95">
        <w:rPr>
          <w:rFonts w:eastAsia="Calibri" w:cs="Times New Roman"/>
        </w:rPr>
        <w:t xml:space="preserve"> </w:t>
      </w:r>
      <w:r w:rsidR="00F11B7D">
        <w:rPr>
          <w:rFonts w:eastAsia="Calibri" w:cs="Times New Roman"/>
        </w:rPr>
        <w:t>(</w:t>
      </w:r>
      <w:r w:rsidRPr="00325A95">
        <w:rPr>
          <w:rFonts w:eastAsia="Calibri" w:cs="Times New Roman"/>
        </w:rPr>
        <w:t>2nd ed</w:t>
      </w:r>
      <w:r w:rsidRPr="00F11B7D">
        <w:rPr>
          <w:rFonts w:eastAsia="Calibri" w:cs="Times New Roman"/>
        </w:rPr>
        <w:t>.</w:t>
      </w:r>
      <w:r w:rsidR="00F11B7D">
        <w:rPr>
          <w:rFonts w:eastAsia="Calibri" w:cs="Times New Roman"/>
        </w:rPr>
        <w:t>).</w:t>
      </w:r>
      <w:r w:rsidRPr="00AE3E3E">
        <w:rPr>
          <w:rFonts w:eastAsia="Calibri" w:cs="Times New Roman"/>
        </w:rPr>
        <w:t xml:space="preserve"> Englewood Cliffs, NJ: Prentice-Hall.</w:t>
      </w:r>
    </w:p>
    <w:p w14:paraId="2555C693" w14:textId="3AA92B5F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 xml:space="preserve">Komro, K. A., </w:t>
      </w:r>
      <w:r w:rsidRPr="00AE3E3E">
        <w:rPr>
          <w:rFonts w:eastAsia="Calibri" w:cs="Times New Roman"/>
        </w:rPr>
        <w:t xml:space="preserve">Livingston, M. D., Wagenaar, A. C., Kominsky, T. K., Pettigrew, D. W., Garrett, B. W., &amp; the Cherokee Nation Prevention Trial Team. (2017). Multilevel prevention trial of alcohol use among American Indian and white high school students in the Cherokee Nation. </w:t>
      </w:r>
      <w:r w:rsidRPr="00AE3E3E">
        <w:rPr>
          <w:rFonts w:eastAsia="Calibri" w:cs="Times New Roman"/>
          <w:i/>
        </w:rPr>
        <w:t>American Journal of Public Health, 107</w:t>
      </w:r>
      <w:r w:rsidRPr="00AE3E3E">
        <w:rPr>
          <w:rFonts w:eastAsia="Calibri" w:cs="Times New Roman"/>
        </w:rPr>
        <w:t>, 453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459. </w:t>
      </w:r>
      <w:hyperlink r:id="rId35" w:history="1">
        <w:r w:rsidRPr="00AE3E3E">
          <w:rPr>
            <w:rFonts w:eastAsia="Calibri" w:cs="Times New Roman"/>
            <w:color w:val="0000FF"/>
            <w:u w:val="single"/>
          </w:rPr>
          <w:t>http://doi.org/10.2105/</w:t>
        </w:r>
        <w:r w:rsidRPr="00AE3E3E">
          <w:rPr>
            <w:rFonts w:eastAsia="Calibri" w:cs="Times New Roman"/>
            <w:color w:val="0000FF"/>
            <w:u w:val="single"/>
          </w:rPr>
          <w:br w:type="textWrapping" w:clear="all"/>
          <w:t>AJPH.2016.303603</w:t>
        </w:r>
      </w:hyperlink>
    </w:p>
    <w:p w14:paraId="66AFAD4C" w14:textId="06F1A6AC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  <w:lang w:val="de-DE"/>
        </w:rPr>
        <w:t>Komro, K</w:t>
      </w:r>
      <w:r w:rsidRPr="00AE3E3E">
        <w:rPr>
          <w:rFonts w:eastAsia="Calibri" w:cs="Times New Roman"/>
          <w:lang w:val="de-DE"/>
        </w:rPr>
        <w:t xml:space="preserve">. A., Tobler, A. L., Delisle, A. L., Ryan, J. O., &amp; Wagenaar, A. C. (2013). </w:t>
      </w:r>
      <w:r w:rsidRPr="00AE3E3E">
        <w:rPr>
          <w:rFonts w:eastAsia="Calibri" w:cs="Times New Roman"/>
        </w:rPr>
        <w:t xml:space="preserve">Beyond the clinic: Improving child health through evidence-based community development. </w:t>
      </w:r>
      <w:r w:rsidRPr="00AE3E3E">
        <w:rPr>
          <w:rFonts w:eastAsia="Calibri" w:cs="Times New Roman"/>
          <w:i/>
        </w:rPr>
        <w:t>BMC Pediatrics, 13</w:t>
      </w:r>
      <w:r w:rsidRPr="00AE3E3E">
        <w:rPr>
          <w:rFonts w:eastAsia="Calibri" w:cs="Times New Roman"/>
        </w:rPr>
        <w:t>, 172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180. </w:t>
      </w:r>
      <w:hyperlink r:id="rId36" w:history="1">
        <w:r w:rsidRPr="00AE3E3E">
          <w:rPr>
            <w:rFonts w:eastAsia="Calibri" w:cs="Times New Roman"/>
            <w:color w:val="0000FF"/>
            <w:u w:val="single"/>
          </w:rPr>
          <w:t>https://doi.org/10.1186/1471-2431-13-172</w:t>
        </w:r>
      </w:hyperlink>
      <w:r w:rsidRPr="00AE3E3E">
        <w:rPr>
          <w:rFonts w:eastAsia="Calibri" w:cs="Times New Roman"/>
        </w:rPr>
        <w:t xml:space="preserve"> </w:t>
      </w:r>
    </w:p>
    <w:p w14:paraId="7C9829C7" w14:textId="7F93B719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Lee, S., Aos</w:t>
      </w:r>
      <w:r w:rsidRPr="00AE3E3E">
        <w:rPr>
          <w:rFonts w:eastAsia="Calibri" w:cs="Times New Roman"/>
        </w:rPr>
        <w:t xml:space="preserve">, S., Drake, E., Pennucci, A., Miller, M., &amp; Anderson, L. (2012). </w:t>
      </w:r>
      <w:r w:rsidRPr="00AE3E3E">
        <w:rPr>
          <w:rFonts w:eastAsia="Calibri" w:cs="Times New Roman"/>
          <w:i/>
        </w:rPr>
        <w:t>Return on investment: Evidence-based options to improve statewide outcomes</w:t>
      </w:r>
      <w:r w:rsidRPr="00AE3E3E">
        <w:rPr>
          <w:rFonts w:eastAsia="Calibri" w:cs="Times New Roman"/>
        </w:rPr>
        <w:t>. Olympia</w:t>
      </w:r>
      <w:r w:rsidR="00F11B7D">
        <w:rPr>
          <w:rFonts w:eastAsia="Calibri" w:cs="Times New Roman"/>
        </w:rPr>
        <w:t>, WA</w:t>
      </w:r>
      <w:r w:rsidRPr="00AE3E3E">
        <w:rPr>
          <w:rFonts w:eastAsia="Calibri" w:cs="Times New Roman"/>
        </w:rPr>
        <w:t>: Washington State Institute for Public Policy.</w:t>
      </w:r>
    </w:p>
    <w:p w14:paraId="7487AA15" w14:textId="2E2419B3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485FAB">
        <w:rPr>
          <w:rFonts w:eastAsia="Calibri" w:cs="Times New Roman"/>
        </w:rPr>
        <w:t>Lee, S., Drake</w:t>
      </w:r>
      <w:r w:rsidRPr="00AE3E3E">
        <w:rPr>
          <w:rFonts w:eastAsia="Calibri" w:cs="Times New Roman"/>
        </w:rPr>
        <w:t xml:space="preserve">, E., Pennucci, A., Bjornstad, G., &amp; Edovald, T. (2012). Economic evaluation of early childhood education in a policy context. </w:t>
      </w:r>
      <w:r w:rsidRPr="00AE3E3E">
        <w:rPr>
          <w:rFonts w:eastAsia="Calibri" w:cs="Times New Roman"/>
          <w:i/>
        </w:rPr>
        <w:t>Journal of Children's Services, 7</w:t>
      </w:r>
      <w:r w:rsidRPr="00AE3E3E">
        <w:rPr>
          <w:rFonts w:eastAsia="Calibri" w:cs="Times New Roman"/>
        </w:rPr>
        <w:t>, 53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63. </w:t>
      </w:r>
      <w:hyperlink r:id="rId37" w:history="1">
        <w:r w:rsidRPr="00AE3E3E">
          <w:rPr>
            <w:rFonts w:eastAsia="Calibri" w:cs="Times New Roman"/>
            <w:color w:val="0000FF"/>
            <w:u w:val="single"/>
          </w:rPr>
          <w:t>https://doi.org/10.1108/17466661211213670</w:t>
        </w:r>
      </w:hyperlink>
      <w:r w:rsidRPr="00AE3E3E">
        <w:rPr>
          <w:rFonts w:eastAsia="Calibri" w:cs="Times New Roman"/>
        </w:rPr>
        <w:t xml:space="preserve"> </w:t>
      </w:r>
    </w:p>
    <w:p w14:paraId="1394CBF6" w14:textId="77EB63E2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  <w:lang w:val="de-DE"/>
        </w:rPr>
      </w:pPr>
      <w:r w:rsidRPr="00485FAB">
        <w:rPr>
          <w:rFonts w:eastAsia="Calibri" w:cs="Times New Roman"/>
        </w:rPr>
        <w:t xml:space="preserve">Leslie, L. </w:t>
      </w:r>
      <w:r w:rsidRPr="00AE3E3E">
        <w:rPr>
          <w:rFonts w:eastAsia="Calibri" w:cs="Times New Roman"/>
        </w:rPr>
        <w:t xml:space="preserve">K., Mehus, C. J., Hawkins, J. D., Boat, T., McCabe, M. A., Barkin, S., </w:t>
      </w:r>
      <w:r w:rsidR="003525E9">
        <w:rPr>
          <w:rFonts w:eastAsia="Calibri" w:cs="Times New Roman"/>
        </w:rPr>
        <w:t xml:space="preserve">&amp; </w:t>
      </w:r>
      <w:r w:rsidRPr="00AE3E3E">
        <w:rPr>
          <w:rFonts w:eastAsia="Calibri" w:cs="Times New Roman"/>
        </w:rPr>
        <w:t xml:space="preserve">Beardslee, W. (2016). Primary </w:t>
      </w:r>
      <w:r w:rsidR="00536BFD">
        <w:rPr>
          <w:rFonts w:eastAsia="Calibri" w:cs="Times New Roman"/>
        </w:rPr>
        <w:t>h</w:t>
      </w:r>
      <w:r w:rsidR="00536BFD" w:rsidRPr="00AE3E3E">
        <w:rPr>
          <w:rFonts w:eastAsia="Calibri" w:cs="Times New Roman"/>
        </w:rPr>
        <w:t xml:space="preserve">ealth </w:t>
      </w:r>
      <w:r w:rsidR="00536BFD">
        <w:rPr>
          <w:rFonts w:eastAsia="Calibri" w:cs="Times New Roman"/>
        </w:rPr>
        <w:t>c</w:t>
      </w:r>
      <w:r w:rsidR="00536BFD" w:rsidRPr="00AE3E3E">
        <w:rPr>
          <w:rFonts w:eastAsia="Calibri" w:cs="Times New Roman"/>
        </w:rPr>
        <w:t>are</w:t>
      </w:r>
      <w:r w:rsidRPr="00AE3E3E">
        <w:rPr>
          <w:rFonts w:eastAsia="Calibri" w:cs="Times New Roman"/>
        </w:rPr>
        <w:t xml:space="preserve">. </w:t>
      </w:r>
      <w:r w:rsidRPr="00AE3E3E">
        <w:rPr>
          <w:rFonts w:eastAsia="Calibri" w:cs="Times New Roman"/>
          <w:i/>
        </w:rPr>
        <w:t>American Journal of Preventive Medicine, 51</w:t>
      </w:r>
      <w:r w:rsidRPr="00AE3E3E">
        <w:rPr>
          <w:rFonts w:eastAsia="Calibri" w:cs="Times New Roman"/>
        </w:rPr>
        <w:t>, S106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S118. </w:t>
      </w:r>
      <w:hyperlink r:id="rId38" w:history="1">
        <w:r w:rsidRPr="00AE3E3E">
          <w:rPr>
            <w:rFonts w:eastAsia="Calibri" w:cs="Times New Roman"/>
            <w:color w:val="0000FF"/>
            <w:u w:val="single"/>
            <w:lang w:val="de-DE"/>
          </w:rPr>
          <w:t>http://dx.doi.org/10.1016/j.amepre.2016.05.014</w:t>
        </w:r>
      </w:hyperlink>
      <w:r w:rsidRPr="00AE3E3E">
        <w:rPr>
          <w:rFonts w:eastAsia="Calibri" w:cs="Times New Roman"/>
          <w:lang w:val="de-DE"/>
        </w:rPr>
        <w:t xml:space="preserve"> </w:t>
      </w:r>
    </w:p>
    <w:p w14:paraId="4E61583C" w14:textId="3AA7DDC7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B04406">
        <w:rPr>
          <w:rFonts w:eastAsia="Calibri" w:cs="Times New Roman"/>
          <w:lang w:val="de-DE"/>
        </w:rPr>
        <w:t>Liu</w:t>
      </w:r>
      <w:r w:rsidRPr="00485FAB">
        <w:rPr>
          <w:rFonts w:eastAsia="Calibri" w:cs="Times New Roman"/>
          <w:lang w:val="de-DE"/>
        </w:rPr>
        <w:t>,</w:t>
      </w:r>
      <w:r w:rsidRPr="00AE3E3E">
        <w:rPr>
          <w:rFonts w:eastAsia="Calibri" w:cs="Times New Roman"/>
          <w:lang w:val="de-DE"/>
        </w:rPr>
        <w:t xml:space="preserve"> D., Zhang, S., Wang, L., &amp; Lee, T. W. (2011). </w:t>
      </w:r>
      <w:r w:rsidRPr="00AE3E3E">
        <w:rPr>
          <w:rFonts w:eastAsia="Calibri" w:cs="Times New Roman"/>
        </w:rPr>
        <w:t xml:space="preserve">The effects of autonomy and empowerment on employee turnover: </w:t>
      </w:r>
      <w:r w:rsidR="00536BFD">
        <w:rPr>
          <w:rFonts w:eastAsia="Calibri" w:cs="Times New Roman"/>
        </w:rPr>
        <w:t>T</w:t>
      </w:r>
      <w:r w:rsidR="00536BFD" w:rsidRPr="00AE3E3E">
        <w:rPr>
          <w:rFonts w:eastAsia="Calibri" w:cs="Times New Roman"/>
        </w:rPr>
        <w:t xml:space="preserve">est </w:t>
      </w:r>
      <w:r w:rsidRPr="00AE3E3E">
        <w:rPr>
          <w:rFonts w:eastAsia="Calibri" w:cs="Times New Roman"/>
        </w:rPr>
        <w:t xml:space="preserve">of a multilevel model in teams. </w:t>
      </w:r>
      <w:r w:rsidRPr="00AE3E3E">
        <w:rPr>
          <w:rFonts w:eastAsia="Calibri" w:cs="Times New Roman"/>
          <w:i/>
        </w:rPr>
        <w:t>Journal of Applied Psychology</w:t>
      </w:r>
      <w:r w:rsidRPr="00AE3E3E">
        <w:rPr>
          <w:rFonts w:eastAsia="Calibri" w:cs="Times New Roman"/>
        </w:rPr>
        <w:t xml:space="preserve">, </w:t>
      </w:r>
      <w:r w:rsidRPr="00AE3E3E">
        <w:rPr>
          <w:rFonts w:eastAsia="Calibri" w:cs="Times New Roman"/>
          <w:i/>
        </w:rPr>
        <w:t xml:space="preserve">96, </w:t>
      </w:r>
      <w:r w:rsidRPr="00AE3E3E">
        <w:rPr>
          <w:rFonts w:eastAsia="Calibri" w:cs="Times New Roman"/>
        </w:rPr>
        <w:t>1305</w:t>
      </w:r>
      <w:r w:rsidR="003525E9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1316. </w:t>
      </w:r>
      <w:hyperlink r:id="rId39" w:history="1">
        <w:r w:rsidRPr="00AE3E3E">
          <w:rPr>
            <w:rFonts w:eastAsia="Calibri" w:cs="Times New Roman"/>
            <w:color w:val="0000FF"/>
            <w:u w:val="single"/>
          </w:rPr>
          <w:t>https://doi.org/10.1037/a0024518</w:t>
        </w:r>
      </w:hyperlink>
    </w:p>
    <w:p w14:paraId="0782D4A9" w14:textId="2F5A7C27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  <w:iCs/>
        </w:rPr>
        <w:t>McGinnis</w:t>
      </w:r>
      <w:r w:rsidRPr="00485FAB">
        <w:rPr>
          <w:rFonts w:eastAsia="Calibri" w:cs="Times New Roman"/>
          <w:iCs/>
        </w:rPr>
        <w:t xml:space="preserve">, </w:t>
      </w:r>
      <w:r w:rsidR="00536BFD">
        <w:rPr>
          <w:rFonts w:eastAsia="Calibri" w:cs="Times New Roman"/>
          <w:iCs/>
        </w:rPr>
        <w:t>J</w:t>
      </w:r>
      <w:r w:rsidRPr="00AE3E3E">
        <w:rPr>
          <w:rFonts w:eastAsia="Calibri" w:cs="Times New Roman"/>
          <w:iCs/>
        </w:rPr>
        <w:t xml:space="preserve">. M., Williams-Russo, P., </w:t>
      </w:r>
      <w:r w:rsidR="00FA0D0B">
        <w:rPr>
          <w:rFonts w:eastAsia="Calibri" w:cs="Times New Roman"/>
          <w:iCs/>
        </w:rPr>
        <w:t>&amp;</w:t>
      </w:r>
      <w:r w:rsidRPr="00AE3E3E">
        <w:rPr>
          <w:rFonts w:eastAsia="Calibri" w:cs="Times New Roman"/>
          <w:iCs/>
        </w:rPr>
        <w:t xml:space="preserve"> Knickman, J.</w:t>
      </w:r>
      <w:r w:rsidR="009C61EA">
        <w:rPr>
          <w:rFonts w:eastAsia="Calibri" w:cs="Times New Roman"/>
          <w:iCs/>
        </w:rPr>
        <w:t xml:space="preserve"> </w:t>
      </w:r>
      <w:r w:rsidRPr="00AE3E3E">
        <w:rPr>
          <w:rFonts w:eastAsia="Calibri" w:cs="Times New Roman"/>
          <w:iCs/>
        </w:rPr>
        <w:t>R.</w:t>
      </w:r>
      <w:r w:rsidRPr="00AE3E3E">
        <w:rPr>
          <w:rFonts w:eastAsia="Calibri" w:cs="Times New Roman"/>
          <w:i/>
          <w:iCs/>
        </w:rPr>
        <w:t xml:space="preserve"> </w:t>
      </w:r>
      <w:r w:rsidRPr="00FA0D0B">
        <w:rPr>
          <w:rFonts w:eastAsia="Calibri" w:cs="Times New Roman"/>
          <w:iCs/>
        </w:rPr>
        <w:t>(2002)</w:t>
      </w:r>
      <w:r w:rsidR="00FA0D0B" w:rsidRPr="00FA0D0B">
        <w:rPr>
          <w:rFonts w:eastAsia="Calibri" w:cs="Times New Roman"/>
          <w:iCs/>
        </w:rPr>
        <w:t>.</w:t>
      </w:r>
      <w:r w:rsidR="00FA0D0B">
        <w:rPr>
          <w:rFonts w:eastAsia="Calibri" w:cs="Times New Roman"/>
          <w:i/>
          <w:iCs/>
        </w:rPr>
        <w:t xml:space="preserve"> </w:t>
      </w:r>
      <w:r w:rsidRPr="00AE3E3E">
        <w:rPr>
          <w:rFonts w:eastAsia="Calibri" w:cs="Times New Roman"/>
          <w:iCs/>
        </w:rPr>
        <w:t xml:space="preserve">The </w:t>
      </w:r>
      <w:r w:rsidR="00FA0D0B" w:rsidRPr="00AE3E3E">
        <w:rPr>
          <w:rFonts w:eastAsia="Calibri" w:cs="Times New Roman"/>
          <w:iCs/>
        </w:rPr>
        <w:t>case for more active policy attention to health promotion</w:t>
      </w:r>
      <w:r w:rsidR="00FA0D0B">
        <w:rPr>
          <w:rFonts w:eastAsia="Calibri" w:cs="Times New Roman"/>
          <w:i/>
          <w:iCs/>
        </w:rPr>
        <w:t>.</w:t>
      </w:r>
      <w:r w:rsidRPr="00AE3E3E">
        <w:rPr>
          <w:rFonts w:eastAsia="Calibri" w:cs="Times New Roman"/>
          <w:i/>
          <w:iCs/>
        </w:rPr>
        <w:t xml:space="preserve"> Health Affairs</w:t>
      </w:r>
      <w:r w:rsidR="00FA0D0B">
        <w:rPr>
          <w:rFonts w:eastAsia="Calibri" w:cs="Times New Roman"/>
          <w:i/>
          <w:iCs/>
        </w:rPr>
        <w:t>,</w:t>
      </w:r>
      <w:r w:rsidRPr="00AE3E3E">
        <w:rPr>
          <w:rFonts w:eastAsia="Calibri" w:cs="Times New Roman"/>
          <w:i/>
          <w:iCs/>
        </w:rPr>
        <w:t xml:space="preserve"> 21</w:t>
      </w:r>
      <w:r w:rsidRPr="00FA0D0B">
        <w:rPr>
          <w:rFonts w:eastAsia="Calibri" w:cs="Times New Roman"/>
          <w:iCs/>
        </w:rPr>
        <w:t>, 78</w:t>
      </w:r>
      <w:r w:rsidR="00C84462">
        <w:rPr>
          <w:rFonts w:eastAsia="Calibri" w:cs="Times New Roman"/>
        </w:rPr>
        <w:t>–</w:t>
      </w:r>
      <w:r w:rsidRPr="00FA0D0B">
        <w:rPr>
          <w:rFonts w:eastAsia="Calibri" w:cs="Times New Roman"/>
          <w:iCs/>
        </w:rPr>
        <w:t>93</w:t>
      </w:r>
      <w:r w:rsidR="00FA0D0B">
        <w:rPr>
          <w:rFonts w:eastAsia="Calibri" w:cs="Times New Roman"/>
          <w:iCs/>
        </w:rPr>
        <w:t xml:space="preserve">. </w:t>
      </w:r>
      <w:hyperlink r:id="rId40" w:history="1">
        <w:r w:rsidR="00FA0D0B" w:rsidRPr="00FA0D0B">
          <w:rPr>
            <w:color w:val="0000FF"/>
            <w:u w:val="single"/>
          </w:rPr>
          <w:t>https://doi.org/10.1377/hlthaff.21.2.78</w:t>
        </w:r>
      </w:hyperlink>
      <w:r w:rsidR="00FA0D0B">
        <w:rPr>
          <w:rFonts w:eastAsia="Calibri" w:cs="Times New Roman"/>
          <w:iCs/>
        </w:rPr>
        <w:t xml:space="preserve"> </w:t>
      </w:r>
    </w:p>
    <w:p w14:paraId="41250939" w14:textId="77777777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McIntosh</w:t>
      </w:r>
      <w:r w:rsidRPr="00485FAB">
        <w:rPr>
          <w:rFonts w:eastAsia="Calibri" w:cs="Times New Roman"/>
        </w:rPr>
        <w:t xml:space="preserve">, </w:t>
      </w:r>
      <w:r w:rsidRPr="00AE3E3E">
        <w:rPr>
          <w:rFonts w:eastAsia="Calibri" w:cs="Times New Roman"/>
        </w:rPr>
        <w:t xml:space="preserve">K., &amp; Goodman, S. (2016). </w:t>
      </w:r>
      <w:r w:rsidRPr="00AE3E3E">
        <w:rPr>
          <w:rFonts w:eastAsia="Calibri" w:cs="Times New Roman"/>
          <w:i/>
        </w:rPr>
        <w:t>Integrated multi-tiered systems of support: Blending RTI and PBIS</w:t>
      </w:r>
      <w:r w:rsidRPr="00AE3E3E">
        <w:rPr>
          <w:rFonts w:eastAsia="Calibri" w:cs="Times New Roman"/>
        </w:rPr>
        <w:t>. New York, NY: Guilford Publications.</w:t>
      </w:r>
    </w:p>
    <w:p w14:paraId="44DFA187" w14:textId="3D59AFFF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McSween,</w:t>
      </w:r>
      <w:r w:rsidRPr="00AE3E3E">
        <w:rPr>
          <w:rFonts w:eastAsia="Calibri" w:cs="Times New Roman"/>
        </w:rPr>
        <w:t xml:space="preserve"> T., &amp; Moran, D. J. (2017). Assessing and preventing serious incidents with behavioral science: Enhancing Heinrich’s triangle for the 21st century. </w:t>
      </w:r>
      <w:r w:rsidRPr="00AE3E3E">
        <w:rPr>
          <w:rFonts w:eastAsia="Calibri" w:cs="Times New Roman"/>
          <w:i/>
        </w:rPr>
        <w:t>Journal of Organizational Behavior Management, 37</w:t>
      </w:r>
      <w:r w:rsidRPr="00AE3E3E">
        <w:rPr>
          <w:rFonts w:eastAsia="Calibri" w:cs="Times New Roman"/>
        </w:rPr>
        <w:t>, 283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300. </w:t>
      </w:r>
      <w:hyperlink r:id="rId41" w:history="1">
        <w:r w:rsidR="00F218BB" w:rsidRPr="00F218BB">
          <w:rPr>
            <w:color w:val="0000FF"/>
            <w:u w:val="single"/>
          </w:rPr>
          <w:t>http://dx.doi.org/10.1080/01608061.2017.1340923</w:t>
        </w:r>
      </w:hyperlink>
      <w:r w:rsidRPr="00AE3E3E">
        <w:rPr>
          <w:rFonts w:eastAsia="Calibri" w:cs="Times New Roman"/>
        </w:rPr>
        <w:t xml:space="preserve"> </w:t>
      </w:r>
    </w:p>
    <w:p w14:paraId="2DA2C57F" w14:textId="02A0DCE5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Mozaffarian</w:t>
      </w:r>
      <w:r w:rsidRPr="00AE3E3E">
        <w:rPr>
          <w:rFonts w:eastAsia="Calibri" w:cs="Times New Roman"/>
        </w:rPr>
        <w:t xml:space="preserve">, D., Afshin, A., Benowitz, N. L., Bittner, V., Daniels, S. R., Franch, H. A., ... Popkin, B. M. (2012). Population approaches to improve diet, physical activity, and smoking habits. </w:t>
      </w:r>
      <w:r w:rsidRPr="00AE3E3E">
        <w:rPr>
          <w:rFonts w:eastAsia="Calibri" w:cs="Times New Roman"/>
          <w:i/>
        </w:rPr>
        <w:t>Circulation</w:t>
      </w:r>
      <w:r w:rsidRPr="00AE3E3E">
        <w:rPr>
          <w:rFonts w:eastAsia="Calibri" w:cs="Times New Roman"/>
        </w:rPr>
        <w:t xml:space="preserve">, </w:t>
      </w:r>
      <w:r w:rsidRPr="00AE3E3E">
        <w:rPr>
          <w:rFonts w:eastAsia="Calibri" w:cs="Times New Roman"/>
          <w:i/>
        </w:rPr>
        <w:t>126</w:t>
      </w:r>
      <w:r w:rsidRPr="00AE3E3E">
        <w:rPr>
          <w:rFonts w:eastAsia="Calibri" w:cs="Times New Roman"/>
        </w:rPr>
        <w:t>, 1514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1563. </w:t>
      </w:r>
      <w:hyperlink r:id="rId42" w:history="1">
        <w:r w:rsidRPr="00AE3E3E">
          <w:rPr>
            <w:rFonts w:eastAsia="Calibri" w:cs="Times New Roman"/>
            <w:color w:val="0000FF"/>
            <w:u w:val="single"/>
          </w:rPr>
          <w:t>https://doi.org/10.1161/CIR.0b013e318260a20b</w:t>
        </w:r>
      </w:hyperlink>
      <w:r w:rsidRPr="00AE3E3E">
        <w:rPr>
          <w:rFonts w:eastAsia="Calibri" w:cs="Times New Roman"/>
        </w:rPr>
        <w:t xml:space="preserve"> </w:t>
      </w:r>
    </w:p>
    <w:p w14:paraId="587F65A3" w14:textId="6BCDEA54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Murphy, J</w:t>
      </w:r>
      <w:r w:rsidRPr="00AE3E3E">
        <w:rPr>
          <w:rFonts w:eastAsia="Calibri" w:cs="Times New Roman"/>
        </w:rPr>
        <w:t>. M., Abel, M.</w:t>
      </w:r>
      <w:r w:rsidR="002823F7">
        <w:rPr>
          <w:rFonts w:eastAsia="Calibri" w:cs="Times New Roman"/>
        </w:rPr>
        <w:t xml:space="preserve"> </w:t>
      </w:r>
      <w:r w:rsidRPr="00AE3E3E">
        <w:rPr>
          <w:rFonts w:eastAsia="Calibri" w:cs="Times New Roman"/>
        </w:rPr>
        <w:t>R., Hoover, S., Jellinek, M.</w:t>
      </w:r>
      <w:r w:rsidR="00536BFD">
        <w:rPr>
          <w:rFonts w:eastAsia="Calibri" w:cs="Times New Roman"/>
        </w:rPr>
        <w:t>,</w:t>
      </w:r>
      <w:r w:rsidRPr="00AE3E3E">
        <w:rPr>
          <w:rFonts w:eastAsia="Calibri" w:cs="Times New Roman"/>
        </w:rPr>
        <w:t xml:space="preserve"> &amp; Fazel, M. (2017) Scope, scale</w:t>
      </w:r>
      <w:r w:rsidR="00536BFD">
        <w:rPr>
          <w:rFonts w:eastAsia="Calibri" w:cs="Times New Roman"/>
        </w:rPr>
        <w:t>,</w:t>
      </w:r>
      <w:r w:rsidRPr="00AE3E3E">
        <w:rPr>
          <w:rFonts w:eastAsia="Calibri" w:cs="Times New Roman"/>
        </w:rPr>
        <w:t xml:space="preserve"> and dose of the world’s largest school-based mental health programs. </w:t>
      </w:r>
      <w:r w:rsidRPr="00AE3E3E">
        <w:rPr>
          <w:rFonts w:eastAsia="Calibri" w:cs="Times New Roman"/>
          <w:i/>
        </w:rPr>
        <w:t>Harvard Review of Psychiatry</w:t>
      </w:r>
      <w:r w:rsidRPr="00536BFD">
        <w:rPr>
          <w:rFonts w:eastAsia="Calibri" w:cs="Times New Roman"/>
          <w:i/>
        </w:rPr>
        <w:t xml:space="preserve">, </w:t>
      </w:r>
      <w:r w:rsidRPr="00325A95">
        <w:rPr>
          <w:rFonts w:eastAsia="Calibri" w:cs="Times New Roman"/>
          <w:i/>
        </w:rPr>
        <w:t>25</w:t>
      </w:r>
      <w:r w:rsidRPr="00AE3E3E">
        <w:rPr>
          <w:rFonts w:eastAsia="Calibri" w:cs="Times New Roman"/>
        </w:rPr>
        <w:t xml:space="preserve">, </w:t>
      </w:r>
      <w:r w:rsidR="00FA0D0B">
        <w:rPr>
          <w:rFonts w:eastAsia="Calibri" w:cs="Times New Roman"/>
        </w:rPr>
        <w:t>218</w:t>
      </w:r>
      <w:r w:rsidR="00796833">
        <w:rPr>
          <w:rFonts w:eastAsia="Calibri" w:cs="Times New Roman"/>
        </w:rPr>
        <w:t>–</w:t>
      </w:r>
      <w:r w:rsidR="00FA0D0B">
        <w:rPr>
          <w:rFonts w:eastAsia="Calibri" w:cs="Times New Roman"/>
        </w:rPr>
        <w:t>228</w:t>
      </w:r>
      <w:r w:rsidRPr="00AE3E3E">
        <w:rPr>
          <w:rFonts w:eastAsia="Calibri" w:cs="Times New Roman"/>
        </w:rPr>
        <w:t>.</w:t>
      </w:r>
      <w:r w:rsidR="00FA0D0B">
        <w:rPr>
          <w:rFonts w:eastAsia="Calibri" w:cs="Times New Roman"/>
        </w:rPr>
        <w:t xml:space="preserve"> </w:t>
      </w:r>
      <w:hyperlink r:id="rId43" w:history="1">
        <w:r w:rsidR="00FA0D0B" w:rsidRPr="00FA0D0B">
          <w:rPr>
            <w:color w:val="0000FF"/>
            <w:u w:val="single"/>
          </w:rPr>
          <w:t>https://doi.org/10.1097/HRP.0000000000000149</w:t>
        </w:r>
      </w:hyperlink>
    </w:p>
    <w:p w14:paraId="2A6B0984" w14:textId="0DCCE8F0" w:rsidR="004B194E" w:rsidRDefault="004B194E" w:rsidP="00AE3E3E">
      <w:pPr>
        <w:spacing w:after="120" w:line="240" w:lineRule="auto"/>
        <w:ind w:left="720" w:hanging="720"/>
        <w:rPr>
          <w:color w:val="0000FF"/>
        </w:rPr>
      </w:pPr>
      <w:r w:rsidRPr="00C85974">
        <w:rPr>
          <w:rFonts w:eastAsia="Calibri" w:cs="Times New Roman"/>
        </w:rPr>
        <w:t>National Aeronautics and Space Administration. (2</w:t>
      </w:r>
      <w:r w:rsidRPr="00AE3E3E">
        <w:rPr>
          <w:rFonts w:eastAsia="Calibri" w:cs="Times New Roman"/>
        </w:rPr>
        <w:t xml:space="preserve">017). Global climate change: Vital signs of the planet. </w:t>
      </w:r>
      <w:r w:rsidR="0037424B">
        <w:rPr>
          <w:rFonts w:eastAsia="Calibri" w:cs="Times New Roman"/>
        </w:rPr>
        <w:t xml:space="preserve">Retrieved from </w:t>
      </w:r>
      <w:hyperlink r:id="rId44" w:history="1">
        <w:r w:rsidR="0037424B" w:rsidRPr="00325A95">
          <w:rPr>
            <w:color w:val="0000FF"/>
          </w:rPr>
          <w:t>https://climate.nasa.gov</w:t>
        </w:r>
      </w:hyperlink>
    </w:p>
    <w:p w14:paraId="6FAD58FB" w14:textId="77777777" w:rsidR="00016BF8" w:rsidRPr="00EE5762" w:rsidRDefault="00016BF8" w:rsidP="00016BF8">
      <w:pPr>
        <w:spacing w:after="120" w:line="240" w:lineRule="auto"/>
        <w:ind w:left="720" w:hanging="720"/>
        <w:rPr>
          <w:rFonts w:eastAsia="Calibri" w:cs="Times New Roman"/>
        </w:rPr>
      </w:pPr>
      <w:r w:rsidRPr="00EE5762">
        <w:rPr>
          <w:rFonts w:eastAsia="Calibri" w:cs="Times New Roman"/>
        </w:rPr>
        <w:t xml:space="preserve">National Research Council and Institute of Medicine (2009). </w:t>
      </w:r>
      <w:r w:rsidRPr="00EE5762">
        <w:rPr>
          <w:rFonts w:eastAsia="Calibri" w:cs="Times New Roman"/>
          <w:i/>
        </w:rPr>
        <w:t>Preventing mental, emotional, and behavioral disorders among young people: Progress and possibilities</w:t>
      </w:r>
      <w:r w:rsidRPr="00EE5762">
        <w:rPr>
          <w:rFonts w:eastAsia="Calibri" w:cs="Times New Roman"/>
        </w:rPr>
        <w:t xml:space="preserve">. Committee on Prevention of Mental Disorders and Substance Abuse </w:t>
      </w:r>
      <w:r>
        <w:rPr>
          <w:rFonts w:eastAsia="Calibri" w:cs="Times New Roman"/>
        </w:rPr>
        <w:t>A</w:t>
      </w:r>
      <w:r w:rsidRPr="00EE5762">
        <w:rPr>
          <w:rFonts w:eastAsia="Calibri" w:cs="Times New Roman"/>
        </w:rPr>
        <w:t>mong Children, Youth, and Young Adults: Research advances and promising interventions. Washington, DC: The National Academy Press.</w:t>
      </w:r>
    </w:p>
    <w:p w14:paraId="658D6DDB" w14:textId="22B9FFFC" w:rsidR="00E95AEA" w:rsidRPr="00AE3E3E" w:rsidRDefault="00E95AEA" w:rsidP="00E95AEA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Ogden</w:t>
      </w:r>
      <w:r w:rsidRPr="00AE3E3E">
        <w:rPr>
          <w:rFonts w:eastAsia="Calibri" w:cs="Times New Roman"/>
        </w:rPr>
        <w:t xml:space="preserve">, T., &amp; Amlund Hagen, K. (2008). Treatment effectiveness of </w:t>
      </w:r>
      <w:r w:rsidR="00796833">
        <w:rPr>
          <w:rFonts w:eastAsia="Calibri" w:cs="Times New Roman"/>
        </w:rPr>
        <w:t>p</w:t>
      </w:r>
      <w:r w:rsidRPr="00AE3E3E">
        <w:rPr>
          <w:rFonts w:eastAsia="Calibri" w:cs="Times New Roman"/>
        </w:rPr>
        <w:t xml:space="preserve">arent </w:t>
      </w:r>
      <w:r w:rsidR="00796833">
        <w:rPr>
          <w:rFonts w:eastAsia="Calibri" w:cs="Times New Roman"/>
        </w:rPr>
        <w:t>m</w:t>
      </w:r>
      <w:r w:rsidRPr="00AE3E3E">
        <w:rPr>
          <w:rFonts w:eastAsia="Calibri" w:cs="Times New Roman"/>
        </w:rPr>
        <w:t xml:space="preserve">anagement </w:t>
      </w:r>
      <w:r w:rsidR="00796833">
        <w:rPr>
          <w:rFonts w:eastAsia="Calibri" w:cs="Times New Roman"/>
        </w:rPr>
        <w:t>t</w:t>
      </w:r>
      <w:r w:rsidRPr="00AE3E3E">
        <w:rPr>
          <w:rFonts w:eastAsia="Calibri" w:cs="Times New Roman"/>
        </w:rPr>
        <w:t xml:space="preserve">raining in Norway: A randomized controlled trial of children with conduct problems. </w:t>
      </w:r>
      <w:r w:rsidRPr="00AE3E3E">
        <w:rPr>
          <w:rFonts w:eastAsia="Calibri" w:cs="Times New Roman"/>
          <w:i/>
        </w:rPr>
        <w:t>Journal of Consulting and Clinical Psychology, 76</w:t>
      </w:r>
      <w:r w:rsidRPr="00AE3E3E">
        <w:rPr>
          <w:rFonts w:eastAsia="Calibri" w:cs="Times New Roman"/>
        </w:rPr>
        <w:t xml:space="preserve">, 607–621. </w:t>
      </w:r>
      <w:hyperlink r:id="rId45" w:history="1">
        <w:r w:rsidRPr="00AE3E3E">
          <w:rPr>
            <w:rFonts w:eastAsia="Calibri" w:cs="Times New Roman"/>
            <w:color w:val="0000FF"/>
            <w:u w:val="single"/>
          </w:rPr>
          <w:t>http://doi.org/10.1037/0022-006X.76.4.607</w:t>
        </w:r>
      </w:hyperlink>
      <w:r w:rsidRPr="00AE3E3E">
        <w:rPr>
          <w:rFonts w:eastAsia="Calibri" w:cs="Times New Roman"/>
        </w:rPr>
        <w:t xml:space="preserve"> </w:t>
      </w:r>
    </w:p>
    <w:p w14:paraId="537C0664" w14:textId="3811EAC4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Ogden T., Forgatch, M. S</w:t>
      </w:r>
      <w:r w:rsidRPr="00AE3E3E">
        <w:rPr>
          <w:rFonts w:eastAsia="Calibri" w:cs="Times New Roman"/>
        </w:rPr>
        <w:t xml:space="preserve">., Askeland, E., Patterson, G. R., &amp; Bullock, B. M. (2005). Implementation of parent management training at the national level: The case of Norway. </w:t>
      </w:r>
      <w:r w:rsidRPr="00AE3E3E">
        <w:rPr>
          <w:rFonts w:eastAsia="Calibri" w:cs="Times New Roman"/>
          <w:i/>
        </w:rPr>
        <w:t>Journal of Social Work Practice, 19</w:t>
      </w:r>
      <w:r w:rsidRPr="00AE3E3E">
        <w:rPr>
          <w:rFonts w:eastAsia="Calibri" w:cs="Times New Roman"/>
        </w:rPr>
        <w:t xml:space="preserve">, 317–329. </w:t>
      </w:r>
      <w:hyperlink r:id="rId46" w:history="1">
        <w:r w:rsidR="00FA0D0B" w:rsidRPr="00FA0D0B">
          <w:rPr>
            <w:color w:val="0000FF"/>
            <w:u w:val="single"/>
          </w:rPr>
          <w:t>http://doi.org/10.1080/02650530500291518</w:t>
        </w:r>
      </w:hyperlink>
      <w:r w:rsidRPr="00AE3E3E">
        <w:rPr>
          <w:rFonts w:eastAsia="Calibri" w:cs="Times New Roman"/>
        </w:rPr>
        <w:t xml:space="preserve"> </w:t>
      </w:r>
    </w:p>
    <w:p w14:paraId="2C9A791B" w14:textId="494C8EA9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Paluck, E. L</w:t>
      </w:r>
      <w:r w:rsidRPr="00AE3E3E">
        <w:rPr>
          <w:rFonts w:eastAsia="Calibri" w:cs="Times New Roman"/>
        </w:rPr>
        <w:t xml:space="preserve">., &amp; Green, D. A. (2009). Prejudice reduction: </w:t>
      </w:r>
      <w:r w:rsidR="00796833">
        <w:rPr>
          <w:rFonts w:eastAsia="Calibri" w:cs="Times New Roman"/>
        </w:rPr>
        <w:t>W</w:t>
      </w:r>
      <w:r w:rsidR="00796833" w:rsidRPr="00AE3E3E">
        <w:rPr>
          <w:rFonts w:eastAsia="Calibri" w:cs="Times New Roman"/>
        </w:rPr>
        <w:t xml:space="preserve">hat </w:t>
      </w:r>
      <w:r w:rsidRPr="00AE3E3E">
        <w:rPr>
          <w:rFonts w:eastAsia="Calibri" w:cs="Times New Roman"/>
        </w:rPr>
        <w:t xml:space="preserve">works? A review and assessment of research and practice. </w:t>
      </w:r>
      <w:r w:rsidRPr="00AE3E3E">
        <w:rPr>
          <w:rFonts w:eastAsia="Calibri" w:cs="Times New Roman"/>
          <w:i/>
        </w:rPr>
        <w:t>Annual Review of Psychology, 60</w:t>
      </w:r>
      <w:r w:rsidRPr="00AE3E3E">
        <w:rPr>
          <w:rFonts w:eastAsia="Calibri" w:cs="Times New Roman"/>
        </w:rPr>
        <w:t>, 339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367. </w:t>
      </w:r>
      <w:hyperlink r:id="rId47" w:history="1">
        <w:r w:rsidRPr="00AE3E3E">
          <w:rPr>
            <w:rFonts w:eastAsia="Calibri" w:cs="Times New Roman"/>
            <w:color w:val="0000FF"/>
            <w:u w:val="single"/>
          </w:rPr>
          <w:t>https://doi.org/</w:t>
        </w:r>
        <w:r w:rsidRPr="00AE3E3E">
          <w:rPr>
            <w:rFonts w:eastAsia="Calibri" w:cs="Times New Roman"/>
            <w:color w:val="0000FF"/>
            <w:u w:val="single"/>
          </w:rPr>
          <w:br w:type="textWrapping" w:clear="all"/>
          <w:t>10.1146/annurev.psych.60.110707.163607</w:t>
        </w:r>
      </w:hyperlink>
      <w:r w:rsidRPr="00AE3E3E">
        <w:rPr>
          <w:rFonts w:eastAsia="Calibri" w:cs="Times New Roman"/>
        </w:rPr>
        <w:t xml:space="preserve"> </w:t>
      </w:r>
    </w:p>
    <w:p w14:paraId="3D24C72B" w14:textId="180983F6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Patterson, G</w:t>
      </w:r>
      <w:r w:rsidRPr="00AE3E3E">
        <w:rPr>
          <w:rFonts w:eastAsia="Calibri" w:cs="Times New Roman"/>
        </w:rPr>
        <w:t xml:space="preserve">. R. (2016). Coercion theory: </w:t>
      </w:r>
      <w:r w:rsidR="0017510C">
        <w:rPr>
          <w:rFonts w:eastAsia="Calibri" w:cs="Times New Roman"/>
        </w:rPr>
        <w:t>T</w:t>
      </w:r>
      <w:r w:rsidR="0017510C" w:rsidRPr="00AE3E3E">
        <w:rPr>
          <w:rFonts w:eastAsia="Calibri" w:cs="Times New Roman"/>
        </w:rPr>
        <w:t xml:space="preserve">he </w:t>
      </w:r>
      <w:r w:rsidRPr="00AE3E3E">
        <w:rPr>
          <w:rFonts w:eastAsia="Calibri" w:cs="Times New Roman"/>
        </w:rPr>
        <w:t xml:space="preserve">study of change. In T. J. Dishion &amp; J. J. Snyder (Eds.), </w:t>
      </w:r>
      <w:r w:rsidRPr="00AE3E3E">
        <w:rPr>
          <w:rFonts w:eastAsia="Calibri" w:cs="Times New Roman"/>
          <w:i/>
        </w:rPr>
        <w:t xml:space="preserve">The Oxford </w:t>
      </w:r>
      <w:r w:rsidR="0017510C">
        <w:rPr>
          <w:rFonts w:eastAsia="Calibri" w:cs="Times New Roman"/>
          <w:i/>
        </w:rPr>
        <w:t>h</w:t>
      </w:r>
      <w:r w:rsidR="0017510C" w:rsidRPr="00AE3E3E">
        <w:rPr>
          <w:rFonts w:eastAsia="Calibri" w:cs="Times New Roman"/>
          <w:i/>
        </w:rPr>
        <w:t xml:space="preserve">andbook </w:t>
      </w:r>
      <w:r w:rsidRPr="00AE3E3E">
        <w:rPr>
          <w:rFonts w:eastAsia="Calibri" w:cs="Times New Roman"/>
          <w:i/>
        </w:rPr>
        <w:t xml:space="preserve">of </w:t>
      </w:r>
      <w:r w:rsidR="0017510C">
        <w:rPr>
          <w:rFonts w:eastAsia="Calibri" w:cs="Times New Roman"/>
          <w:i/>
        </w:rPr>
        <w:t>c</w:t>
      </w:r>
      <w:r w:rsidR="0017510C" w:rsidRPr="00AE3E3E">
        <w:rPr>
          <w:rFonts w:eastAsia="Calibri" w:cs="Times New Roman"/>
          <w:i/>
        </w:rPr>
        <w:t xml:space="preserve">oercive </w:t>
      </w:r>
      <w:r w:rsidR="0017510C">
        <w:rPr>
          <w:rFonts w:eastAsia="Calibri" w:cs="Times New Roman"/>
          <w:i/>
        </w:rPr>
        <w:t>r</w:t>
      </w:r>
      <w:r w:rsidR="0017510C" w:rsidRPr="00AE3E3E">
        <w:rPr>
          <w:rFonts w:eastAsia="Calibri" w:cs="Times New Roman"/>
          <w:i/>
        </w:rPr>
        <w:t xml:space="preserve">elationship </w:t>
      </w:r>
      <w:r w:rsidR="0017510C">
        <w:rPr>
          <w:rFonts w:eastAsia="Calibri" w:cs="Times New Roman"/>
          <w:i/>
        </w:rPr>
        <w:t>d</w:t>
      </w:r>
      <w:r w:rsidR="0017510C" w:rsidRPr="00AE3E3E">
        <w:rPr>
          <w:rFonts w:eastAsia="Calibri" w:cs="Times New Roman"/>
          <w:i/>
        </w:rPr>
        <w:t xml:space="preserve">ynamics </w:t>
      </w:r>
      <w:r w:rsidRPr="00AE3E3E">
        <w:rPr>
          <w:rFonts w:eastAsia="Calibri" w:cs="Times New Roman"/>
        </w:rPr>
        <w:t>(pp. 7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>22). Oxford, UK: Oxford University Press.</w:t>
      </w:r>
    </w:p>
    <w:p w14:paraId="46F9859A" w14:textId="40184152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  <w:lang w:val="de-DE"/>
        </w:rPr>
      </w:pPr>
      <w:r w:rsidRPr="00C85974">
        <w:rPr>
          <w:rFonts w:eastAsia="Calibri" w:cs="Times New Roman"/>
        </w:rPr>
        <w:t>Patterson, G</w:t>
      </w:r>
      <w:r w:rsidRPr="00AE3E3E">
        <w:rPr>
          <w:rFonts w:eastAsia="Calibri" w:cs="Times New Roman"/>
        </w:rPr>
        <w:t xml:space="preserve">. R., Forgatch, M. S., &amp; DeGarmo, D. S. (2010). Cascading effects following intervention. </w:t>
      </w:r>
      <w:r w:rsidRPr="00AE3E3E">
        <w:rPr>
          <w:rFonts w:eastAsia="Calibri" w:cs="Times New Roman"/>
          <w:i/>
        </w:rPr>
        <w:t>Development and Psychopathology, 22</w:t>
      </w:r>
      <w:r w:rsidRPr="00AE3E3E">
        <w:rPr>
          <w:rFonts w:eastAsia="Calibri" w:cs="Times New Roman"/>
        </w:rPr>
        <w:t>, 949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970. </w:t>
      </w:r>
      <w:hyperlink r:id="rId48" w:history="1">
        <w:r w:rsidRPr="00AE3E3E">
          <w:rPr>
            <w:rFonts w:eastAsia="Calibri" w:cs="Times New Roman"/>
            <w:color w:val="0000FF"/>
            <w:u w:val="single"/>
            <w:lang w:val="de-DE"/>
          </w:rPr>
          <w:t>https://doi.org/10.1017/</w:t>
        </w:r>
        <w:r w:rsidRPr="00AE3E3E">
          <w:rPr>
            <w:rFonts w:eastAsia="Calibri" w:cs="Times New Roman"/>
            <w:color w:val="0000FF"/>
            <w:u w:val="single"/>
            <w:lang w:val="de-DE"/>
          </w:rPr>
          <w:br w:type="textWrapping" w:clear="all"/>
          <w:t>S0954579410000568</w:t>
        </w:r>
      </w:hyperlink>
      <w:r w:rsidRPr="00AE3E3E">
        <w:rPr>
          <w:rFonts w:eastAsia="Calibri" w:cs="Times New Roman"/>
          <w:lang w:val="de-DE"/>
        </w:rPr>
        <w:t xml:space="preserve"> </w:t>
      </w:r>
    </w:p>
    <w:p w14:paraId="6D873BA3" w14:textId="65E2F04B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  <w:lang w:val="de-DE"/>
        </w:rPr>
        <w:t xml:space="preserve">Perry, C. </w:t>
      </w:r>
      <w:r w:rsidRPr="00AE3E3E">
        <w:rPr>
          <w:rFonts w:eastAsia="Calibri" w:cs="Times New Roman"/>
          <w:lang w:val="de-DE"/>
        </w:rPr>
        <w:t xml:space="preserve">L., Williams, C. L., Komro, K. A., Veblen-Mortenson, S., Stigler, M. H., Munson, K. A., ... </w:t>
      </w:r>
      <w:r w:rsidRPr="00AE3E3E">
        <w:rPr>
          <w:rFonts w:eastAsia="Calibri" w:cs="Times New Roman"/>
        </w:rPr>
        <w:t xml:space="preserve">Forster, J. L. (2002). Project Northland: Long-term outcomes of community action to reduce adolescent alcohol use. </w:t>
      </w:r>
      <w:r w:rsidRPr="00AE3E3E">
        <w:rPr>
          <w:rFonts w:eastAsia="Calibri" w:cs="Times New Roman"/>
          <w:i/>
        </w:rPr>
        <w:t>Health Education Research, 17</w:t>
      </w:r>
      <w:r w:rsidRPr="00AE3E3E">
        <w:rPr>
          <w:rFonts w:eastAsia="Calibri" w:cs="Times New Roman"/>
        </w:rPr>
        <w:t>, 117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132. </w:t>
      </w:r>
      <w:hyperlink r:id="rId49" w:history="1">
        <w:r w:rsidRPr="00AE3E3E">
          <w:rPr>
            <w:rFonts w:eastAsia="Calibri" w:cs="Times New Roman"/>
            <w:color w:val="0000FF"/>
            <w:u w:val="single"/>
          </w:rPr>
          <w:t>https://doi.org/</w:t>
        </w:r>
        <w:r w:rsidRPr="00AE3E3E">
          <w:rPr>
            <w:rFonts w:eastAsia="Calibri" w:cs="Times New Roman"/>
            <w:color w:val="0000FF"/>
            <w:u w:val="single"/>
          </w:rPr>
          <w:br w:type="textWrapping" w:clear="all"/>
          <w:t>10.1093/her/17.1.117</w:t>
        </w:r>
      </w:hyperlink>
      <w:r w:rsidRPr="00AE3E3E">
        <w:rPr>
          <w:rFonts w:eastAsia="Calibri" w:cs="Times New Roman"/>
        </w:rPr>
        <w:t xml:space="preserve"> </w:t>
      </w:r>
    </w:p>
    <w:p w14:paraId="7807BC1F" w14:textId="20B5A75F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>Prinz</w:t>
      </w:r>
      <w:r w:rsidRPr="00AE3E3E">
        <w:rPr>
          <w:rFonts w:eastAsia="Calibri" w:cs="Times New Roman"/>
        </w:rPr>
        <w:t xml:space="preserve">, R. J., &amp; Sanders, M. R. (2007). Adopting a population-level approach to parenting and family support interventions. </w:t>
      </w:r>
      <w:r w:rsidRPr="00AE3E3E">
        <w:rPr>
          <w:rFonts w:eastAsia="Calibri" w:cs="Times New Roman"/>
          <w:i/>
        </w:rPr>
        <w:t>Clinical Psychology Review, 27</w:t>
      </w:r>
      <w:r w:rsidRPr="00AE3E3E">
        <w:rPr>
          <w:rFonts w:eastAsia="Calibri" w:cs="Times New Roman"/>
        </w:rPr>
        <w:t>, 739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749. </w:t>
      </w:r>
      <w:hyperlink r:id="rId50" w:history="1">
        <w:r w:rsidRPr="00AE3E3E">
          <w:rPr>
            <w:rFonts w:eastAsia="Calibri" w:cs="Times New Roman"/>
            <w:color w:val="0000FF"/>
            <w:u w:val="single"/>
          </w:rPr>
          <w:t>https://doi.org/</w:t>
        </w:r>
        <w:r w:rsidRPr="00AE3E3E">
          <w:rPr>
            <w:rFonts w:eastAsia="Calibri" w:cs="Times New Roman"/>
            <w:color w:val="0000FF"/>
            <w:u w:val="single"/>
          </w:rPr>
          <w:br w:type="textWrapping" w:clear="all"/>
          <w:t>10.1016/j.cpr.2007.01.005</w:t>
        </w:r>
      </w:hyperlink>
    </w:p>
    <w:p w14:paraId="5BC8DE48" w14:textId="5B185CCE" w:rsidR="004B194E" w:rsidRPr="007839E8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C85974">
        <w:rPr>
          <w:rFonts w:eastAsia="Calibri" w:cs="Times New Roman"/>
        </w:rPr>
        <w:t xml:space="preserve">Robinson, P., &amp; Hayes, S. (1997). Psychological acceptance strategies for the primary care setting. In J. Cummings, N. Cummings, &amp; J. Johnson (Eds.), </w:t>
      </w:r>
      <w:r w:rsidRPr="007839E8">
        <w:rPr>
          <w:rFonts w:eastAsia="Calibri" w:cs="Times New Roman"/>
          <w:i/>
        </w:rPr>
        <w:t>Behavioral health in primary care: A guide for clinical integration</w:t>
      </w:r>
      <w:r w:rsidR="0054002A">
        <w:rPr>
          <w:rFonts w:eastAsia="Calibri" w:cs="Times New Roman"/>
          <w:i/>
        </w:rPr>
        <w:t xml:space="preserve"> </w:t>
      </w:r>
      <w:r w:rsidR="0054002A" w:rsidRPr="007F5B39">
        <w:t>(pp. 177</w:t>
      </w:r>
      <w:r w:rsidR="0054002A">
        <w:rPr>
          <w:rFonts w:eastAsia="Calibri" w:cs="Times New Roman"/>
        </w:rPr>
        <w:t>–</w:t>
      </w:r>
      <w:r w:rsidR="0054002A" w:rsidRPr="007F5B39">
        <w:t>203)</w:t>
      </w:r>
      <w:r w:rsidRPr="007839E8">
        <w:rPr>
          <w:rFonts w:eastAsia="Calibri" w:cs="Times New Roman"/>
        </w:rPr>
        <w:t>. Madison, CT: Psychosocial Press.</w:t>
      </w:r>
    </w:p>
    <w:p w14:paraId="44045516" w14:textId="0F8D5E63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 xml:space="preserve">Robinson, P., Wischman, C., &amp; Del Vento, A. (1996). </w:t>
      </w:r>
      <w:r w:rsidRPr="00AE3E3E">
        <w:rPr>
          <w:rFonts w:eastAsia="Calibri" w:cs="Times New Roman"/>
          <w:i/>
        </w:rPr>
        <w:t xml:space="preserve">Treating depression in primary care: A manual for primary care and mental health providers. </w:t>
      </w:r>
      <w:r w:rsidRPr="00AE3E3E">
        <w:rPr>
          <w:rFonts w:eastAsia="Calibri" w:cs="Times New Roman"/>
        </w:rPr>
        <w:t>Reno, NV: Context Press</w:t>
      </w:r>
      <w:r w:rsidR="00220745">
        <w:rPr>
          <w:rFonts w:eastAsia="Calibri" w:cs="Times New Roman"/>
        </w:rPr>
        <w:t>.</w:t>
      </w:r>
    </w:p>
    <w:p w14:paraId="58CA20E8" w14:textId="73E2BE0D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B04406">
        <w:rPr>
          <w:rFonts w:eastAsia="Calibri" w:cs="Times New Roman"/>
        </w:rPr>
        <w:t xml:space="preserve">Sallis, J. F., Floyd, M. F., Rodríguez, D. A., &amp; Saelens, B. E. (2012). </w:t>
      </w:r>
      <w:r w:rsidRPr="00AE3E3E">
        <w:rPr>
          <w:rFonts w:eastAsia="Calibri" w:cs="Times New Roman"/>
        </w:rPr>
        <w:t xml:space="preserve">Role of built environments in physical activity, obesity, and cardiovascular disease. </w:t>
      </w:r>
      <w:r w:rsidRPr="00AE3E3E">
        <w:rPr>
          <w:rFonts w:eastAsia="Calibri" w:cs="Times New Roman"/>
          <w:i/>
        </w:rPr>
        <w:t>Circulation, 125</w:t>
      </w:r>
      <w:r w:rsidRPr="00AE3E3E">
        <w:rPr>
          <w:rFonts w:eastAsia="Calibri" w:cs="Times New Roman"/>
        </w:rPr>
        <w:t>, 729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737. </w:t>
      </w:r>
      <w:hyperlink r:id="rId51" w:history="1">
        <w:r w:rsidRPr="00AE3E3E">
          <w:rPr>
            <w:rFonts w:eastAsia="Calibri" w:cs="Times New Roman"/>
            <w:color w:val="0000FF"/>
            <w:u w:val="single"/>
          </w:rPr>
          <w:t>http://doi.org/10.1161/circulationaha.110.969022</w:t>
        </w:r>
      </w:hyperlink>
      <w:r w:rsidR="00F218BB">
        <w:rPr>
          <w:rFonts w:eastAsia="Calibri" w:cs="Times New Roman"/>
        </w:rPr>
        <w:t xml:space="preserve"> </w:t>
      </w:r>
    </w:p>
    <w:p w14:paraId="5D5D43AA" w14:textId="44BF492D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 xml:space="preserve">Sanders, </w:t>
      </w:r>
      <w:r w:rsidRPr="00AE3E3E">
        <w:rPr>
          <w:rFonts w:eastAsia="Calibri" w:cs="Times New Roman"/>
        </w:rPr>
        <w:t>M. R., Turner, K. M. T., &amp; McWilliam, J. (2015). The Triple P</w:t>
      </w:r>
      <w:r w:rsidR="00EE5F72">
        <w:rPr>
          <w:rFonts w:eastAsia="Calibri" w:cs="Times New Roman"/>
        </w:rPr>
        <w:t xml:space="preserve"> </w:t>
      </w:r>
      <w:r w:rsidR="00DA58DB">
        <w:rPr>
          <w:rFonts w:eastAsia="Calibri" w:cs="Times New Roman"/>
        </w:rPr>
        <w:t>–</w:t>
      </w:r>
      <w:r w:rsidR="00EE5F72" w:rsidRPr="00AE3E3E">
        <w:rPr>
          <w:rFonts w:eastAsia="Calibri" w:cs="Times New Roman"/>
        </w:rPr>
        <w:t xml:space="preserve"> </w:t>
      </w:r>
      <w:r w:rsidRPr="00AE3E3E">
        <w:rPr>
          <w:rFonts w:eastAsia="Calibri" w:cs="Times New Roman"/>
        </w:rPr>
        <w:t xml:space="preserve">Positive Parenting Program: A </w:t>
      </w:r>
      <w:r w:rsidR="00DA58DB" w:rsidRPr="00AE3E3E">
        <w:rPr>
          <w:rFonts w:eastAsia="Calibri" w:cs="Times New Roman"/>
        </w:rPr>
        <w:t>community</w:t>
      </w:r>
      <w:r w:rsidR="00DA58DB">
        <w:rPr>
          <w:rFonts w:eastAsia="Calibri" w:cs="Times New Roman"/>
        </w:rPr>
        <w:t>-</w:t>
      </w:r>
      <w:r w:rsidRPr="00AE3E3E">
        <w:rPr>
          <w:rFonts w:eastAsia="Calibri" w:cs="Times New Roman"/>
        </w:rPr>
        <w:t>wide approach to parenting and family support. In M. J. Van Ryzin, K. L. Kumpfer, G. M. Fosco, &amp; M. T. Greenberg (Eds</w:t>
      </w:r>
      <w:r w:rsidR="00DA58DB">
        <w:rPr>
          <w:rFonts w:eastAsia="Calibri" w:cs="Times New Roman"/>
        </w:rPr>
        <w:t>.</w:t>
      </w:r>
      <w:r w:rsidRPr="00AE3E3E">
        <w:rPr>
          <w:rFonts w:eastAsia="Calibri" w:cs="Times New Roman"/>
        </w:rPr>
        <w:t xml:space="preserve">), </w:t>
      </w:r>
      <w:r w:rsidRPr="00AE3E3E">
        <w:rPr>
          <w:rFonts w:eastAsia="Calibri" w:cs="Times New Roman"/>
          <w:i/>
        </w:rPr>
        <w:t xml:space="preserve">Family-based prevention programs for children and adolescents: </w:t>
      </w:r>
      <w:r w:rsidR="00DA58DB">
        <w:rPr>
          <w:rFonts w:eastAsia="Calibri" w:cs="Times New Roman"/>
          <w:i/>
        </w:rPr>
        <w:t>T</w:t>
      </w:r>
      <w:r w:rsidR="00DA58DB" w:rsidRPr="00AE3E3E">
        <w:rPr>
          <w:rFonts w:eastAsia="Calibri" w:cs="Times New Roman"/>
          <w:i/>
        </w:rPr>
        <w:t>heory</w:t>
      </w:r>
      <w:r w:rsidRPr="00AE3E3E">
        <w:rPr>
          <w:rFonts w:eastAsia="Calibri" w:cs="Times New Roman"/>
          <w:i/>
        </w:rPr>
        <w:t>, research, and large-scale dissemination</w:t>
      </w:r>
      <w:r w:rsidRPr="00AE3E3E">
        <w:rPr>
          <w:rFonts w:eastAsia="Calibri" w:cs="Times New Roman"/>
        </w:rPr>
        <w:t xml:space="preserve"> (pp. 130–155). New York</w:t>
      </w:r>
      <w:r w:rsidR="00DA58DB">
        <w:rPr>
          <w:rFonts w:eastAsia="Calibri" w:cs="Times New Roman"/>
        </w:rPr>
        <w:t>, NY</w:t>
      </w:r>
      <w:r w:rsidRPr="00AE3E3E">
        <w:rPr>
          <w:rFonts w:eastAsia="Calibri" w:cs="Times New Roman"/>
        </w:rPr>
        <w:t>: Psychology Press.</w:t>
      </w:r>
    </w:p>
    <w:p w14:paraId="5DF9B35D" w14:textId="06782DDA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>Spoth, R</w:t>
      </w:r>
      <w:r w:rsidRPr="00AE3E3E">
        <w:rPr>
          <w:rFonts w:eastAsia="Calibri" w:cs="Times New Roman"/>
        </w:rPr>
        <w:t xml:space="preserve">., Guyll, M., Redmond, C., Greenberg, M., &amp; Feinberg, M. (2011). Six‐year sustainability of evidence‐based intervention implementation quality by community‐university partnerships: The PROSPER </w:t>
      </w:r>
      <w:r w:rsidR="00DA58DB">
        <w:rPr>
          <w:rFonts w:eastAsia="Calibri" w:cs="Times New Roman"/>
        </w:rPr>
        <w:t>s</w:t>
      </w:r>
      <w:r w:rsidR="00DA58DB" w:rsidRPr="00AE3E3E">
        <w:rPr>
          <w:rFonts w:eastAsia="Calibri" w:cs="Times New Roman"/>
        </w:rPr>
        <w:t>tudy</w:t>
      </w:r>
      <w:r w:rsidRPr="00AE3E3E">
        <w:rPr>
          <w:rFonts w:eastAsia="Calibri" w:cs="Times New Roman"/>
        </w:rPr>
        <w:t xml:space="preserve">. </w:t>
      </w:r>
      <w:r w:rsidRPr="00AE3E3E">
        <w:rPr>
          <w:rFonts w:eastAsia="Calibri" w:cs="Times New Roman"/>
          <w:i/>
        </w:rPr>
        <w:t>American Journal of Community Psychology, 48</w:t>
      </w:r>
      <w:r w:rsidRPr="00AE3E3E">
        <w:rPr>
          <w:rFonts w:eastAsia="Calibri" w:cs="Times New Roman"/>
        </w:rPr>
        <w:t>, 412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425. </w:t>
      </w:r>
      <w:hyperlink r:id="rId52" w:history="1">
        <w:r w:rsidRPr="00AE3E3E">
          <w:rPr>
            <w:rFonts w:eastAsia="Calibri" w:cs="Times New Roman"/>
            <w:color w:val="0000FF"/>
            <w:u w:val="single"/>
          </w:rPr>
          <w:t>http://doi.org/10.1007/s10464-011-9430-5</w:t>
        </w:r>
      </w:hyperlink>
    </w:p>
    <w:p w14:paraId="4F62D21F" w14:textId="4B83B1FA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>Stewart, R</w:t>
      </w:r>
      <w:r w:rsidRPr="00AE3E3E">
        <w:rPr>
          <w:rFonts w:eastAsia="Calibri" w:cs="Times New Roman"/>
        </w:rPr>
        <w:t xml:space="preserve">. M., Benner, G. J., Martella, R. C., &amp; Marchand-Martella, N. E. (2007). Three-tier models of reading and behavior: A research review. </w:t>
      </w:r>
      <w:r w:rsidRPr="00AE3E3E">
        <w:rPr>
          <w:rFonts w:eastAsia="Calibri" w:cs="Times New Roman"/>
          <w:i/>
        </w:rPr>
        <w:t>Journal of Positive Behavior Interventions, 9</w:t>
      </w:r>
      <w:r w:rsidRPr="00AE3E3E">
        <w:rPr>
          <w:rFonts w:eastAsia="Calibri" w:cs="Times New Roman"/>
        </w:rPr>
        <w:t>, 239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253. </w:t>
      </w:r>
      <w:hyperlink r:id="rId53" w:history="1">
        <w:r w:rsidRPr="00AE3E3E">
          <w:rPr>
            <w:rFonts w:eastAsia="Calibri" w:cs="Times New Roman"/>
            <w:color w:val="0000FF"/>
            <w:u w:val="single"/>
          </w:rPr>
          <w:t>https://doi.org/10.1177/10983007070090040601</w:t>
        </w:r>
      </w:hyperlink>
      <w:r w:rsidRPr="00AE3E3E">
        <w:rPr>
          <w:rFonts w:eastAsia="Calibri" w:cs="Times New Roman"/>
        </w:rPr>
        <w:t xml:space="preserve"> </w:t>
      </w:r>
    </w:p>
    <w:p w14:paraId="1D23D936" w14:textId="164F9CFD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 xml:space="preserve">Sulzer-Azaroff, </w:t>
      </w:r>
      <w:r w:rsidRPr="00AE3E3E">
        <w:rPr>
          <w:rFonts w:eastAsia="Calibri" w:cs="Times New Roman"/>
        </w:rPr>
        <w:t xml:space="preserve">B., &amp; Austin, J. (2000). Does BBS work? </w:t>
      </w:r>
      <w:r w:rsidRPr="00AE3E3E">
        <w:rPr>
          <w:rFonts w:eastAsia="Calibri" w:cs="Times New Roman"/>
          <w:i/>
        </w:rPr>
        <w:t>Professional Safety, 45</w:t>
      </w:r>
      <w:r w:rsidRPr="00AE3E3E">
        <w:rPr>
          <w:rFonts w:eastAsia="Calibri" w:cs="Times New Roman"/>
        </w:rPr>
        <w:t>, 19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>24.</w:t>
      </w:r>
    </w:p>
    <w:p w14:paraId="4BEE92C8" w14:textId="1F28BC47" w:rsidR="004B194E" w:rsidRDefault="004B194E" w:rsidP="00B04406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  <w:lang w:val="de-DE"/>
        </w:rPr>
        <w:t xml:space="preserve">Taylor, </w:t>
      </w:r>
      <w:r w:rsidRPr="00AE3E3E">
        <w:rPr>
          <w:rFonts w:eastAsia="Calibri" w:cs="Times New Roman"/>
          <w:lang w:val="de-DE"/>
        </w:rPr>
        <w:t xml:space="preserve">R. D., Oberle, E., Durlak, J. A., &amp; Weissberg, R. P. (2017). </w:t>
      </w:r>
      <w:r w:rsidRPr="00AE3E3E">
        <w:rPr>
          <w:rFonts w:eastAsia="Calibri" w:cs="Times New Roman"/>
        </w:rPr>
        <w:t xml:space="preserve">Promoting positive youth development through school-based social and emotional learning interventions: A meta-analysis of follow-up effects. </w:t>
      </w:r>
      <w:r w:rsidRPr="00AE3E3E">
        <w:rPr>
          <w:rFonts w:eastAsia="Calibri" w:cs="Times New Roman"/>
          <w:i/>
        </w:rPr>
        <w:t>Child Development, 88</w:t>
      </w:r>
      <w:r w:rsidRPr="00AE3E3E">
        <w:rPr>
          <w:rFonts w:eastAsia="Calibri" w:cs="Times New Roman"/>
        </w:rPr>
        <w:t xml:space="preserve">, 1156–1171. </w:t>
      </w:r>
      <w:hyperlink r:id="rId54" w:history="1">
        <w:r w:rsidRPr="00AE3E3E">
          <w:rPr>
            <w:rFonts w:eastAsia="Calibri" w:cs="Times New Roman"/>
            <w:color w:val="0000FF"/>
            <w:u w:val="single"/>
          </w:rPr>
          <w:t>http://doi.org/</w:t>
        </w:r>
        <w:r w:rsidRPr="00AE3E3E">
          <w:rPr>
            <w:rFonts w:eastAsia="Calibri" w:cs="Times New Roman"/>
            <w:color w:val="0000FF"/>
            <w:u w:val="single"/>
          </w:rPr>
          <w:br w:type="textWrapping" w:clear="all"/>
          <w:t>10.1111/cdev.12864</w:t>
        </w:r>
      </w:hyperlink>
      <w:r w:rsidRPr="00AE3E3E">
        <w:rPr>
          <w:rFonts w:eastAsia="Calibri" w:cs="Times New Roman"/>
        </w:rPr>
        <w:t xml:space="preserve"> </w:t>
      </w:r>
    </w:p>
    <w:p w14:paraId="55456171" w14:textId="5EED5288" w:rsidR="0034580C" w:rsidRPr="00F218BB" w:rsidRDefault="0034580C" w:rsidP="00B04406">
      <w:pPr>
        <w:spacing w:after="120" w:line="240" w:lineRule="auto"/>
        <w:ind w:left="720" w:hanging="720"/>
      </w:pPr>
      <w:r w:rsidRPr="0034580C">
        <w:t xml:space="preserve">United Nations, Department of Economic and Social Affairs, Population Division (2017). </w:t>
      </w:r>
      <w:r w:rsidRPr="00325A95">
        <w:rPr>
          <w:i/>
        </w:rPr>
        <w:t xml:space="preserve">World </w:t>
      </w:r>
      <w:r w:rsidR="000E4EAF">
        <w:rPr>
          <w:i/>
        </w:rPr>
        <w:t>p</w:t>
      </w:r>
      <w:r w:rsidR="000E4EAF" w:rsidRPr="00325A95">
        <w:rPr>
          <w:i/>
        </w:rPr>
        <w:t xml:space="preserve">opulation </w:t>
      </w:r>
      <w:r w:rsidR="000E4EAF">
        <w:rPr>
          <w:i/>
        </w:rPr>
        <w:t>p</w:t>
      </w:r>
      <w:r w:rsidR="000E4EAF" w:rsidRPr="00325A95">
        <w:rPr>
          <w:i/>
        </w:rPr>
        <w:t>rospects</w:t>
      </w:r>
      <w:r w:rsidRPr="00325A95">
        <w:rPr>
          <w:i/>
        </w:rPr>
        <w:t xml:space="preserve">: The 2017 </w:t>
      </w:r>
      <w:r w:rsidR="000E4EAF">
        <w:rPr>
          <w:i/>
        </w:rPr>
        <w:t>r</w:t>
      </w:r>
      <w:r w:rsidR="000E4EAF" w:rsidRPr="00325A95">
        <w:rPr>
          <w:i/>
        </w:rPr>
        <w:t>evision</w:t>
      </w:r>
      <w:r w:rsidRPr="00325A95">
        <w:rPr>
          <w:i/>
        </w:rPr>
        <w:t xml:space="preserve">, </w:t>
      </w:r>
      <w:r w:rsidR="000E4EAF">
        <w:rPr>
          <w:i/>
        </w:rPr>
        <w:t>k</w:t>
      </w:r>
      <w:r w:rsidR="000E4EAF" w:rsidRPr="00325A95">
        <w:rPr>
          <w:i/>
        </w:rPr>
        <w:t xml:space="preserve">ey </w:t>
      </w:r>
      <w:r w:rsidR="00F015F0">
        <w:rPr>
          <w:i/>
        </w:rPr>
        <w:t>f</w:t>
      </w:r>
      <w:r w:rsidR="00F015F0" w:rsidRPr="00325A95">
        <w:rPr>
          <w:i/>
        </w:rPr>
        <w:t xml:space="preserve">indings </w:t>
      </w:r>
      <w:r w:rsidRPr="00325A95">
        <w:rPr>
          <w:i/>
        </w:rPr>
        <w:t xml:space="preserve">and </w:t>
      </w:r>
      <w:r w:rsidR="00F015F0">
        <w:rPr>
          <w:i/>
        </w:rPr>
        <w:t>a</w:t>
      </w:r>
      <w:r w:rsidR="00F015F0" w:rsidRPr="00325A95">
        <w:rPr>
          <w:i/>
        </w:rPr>
        <w:t xml:space="preserve">dvance </w:t>
      </w:r>
      <w:r w:rsidR="00F015F0">
        <w:rPr>
          <w:i/>
        </w:rPr>
        <w:t>t</w:t>
      </w:r>
      <w:r w:rsidR="00F015F0" w:rsidRPr="00325A95">
        <w:rPr>
          <w:i/>
        </w:rPr>
        <w:t>ables</w:t>
      </w:r>
      <w:r w:rsidRPr="0034580C">
        <w:t xml:space="preserve"> </w:t>
      </w:r>
      <w:r w:rsidR="00F015F0">
        <w:t>(</w:t>
      </w:r>
      <w:r w:rsidRPr="0034580C">
        <w:t>ESA/P/WP/248</w:t>
      </w:r>
      <w:r w:rsidR="00F015F0">
        <w:t>)</w:t>
      </w:r>
      <w:r w:rsidRPr="0034580C">
        <w:t>.</w:t>
      </w:r>
      <w:r w:rsidR="00926560">
        <w:t xml:space="preserve"> </w:t>
      </w:r>
      <w:r w:rsidR="00DA58DB">
        <w:t>Retrieved from</w:t>
      </w:r>
      <w:r w:rsidR="00926560">
        <w:t xml:space="preserve"> </w:t>
      </w:r>
      <w:hyperlink r:id="rId55" w:history="1">
        <w:r w:rsidR="00926560" w:rsidRPr="00926560">
          <w:rPr>
            <w:rFonts w:eastAsia="Calibri" w:cs="Times New Roman"/>
            <w:color w:val="0000FF"/>
            <w:u w:val="single"/>
          </w:rPr>
          <w:t>https://esa.un.org/unpd/wpp/Publications/</w:t>
        </w:r>
      </w:hyperlink>
      <w:r w:rsidR="00926560">
        <w:t xml:space="preserve"> </w:t>
      </w:r>
    </w:p>
    <w:p w14:paraId="1A81D4B5" w14:textId="1E7DBA5E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AE3E3E">
        <w:rPr>
          <w:rFonts w:eastAsia="Calibri" w:cs="Times New Roman"/>
        </w:rPr>
        <w:t>U. S</w:t>
      </w:r>
      <w:r w:rsidRPr="007839E8">
        <w:rPr>
          <w:rFonts w:eastAsia="Calibri" w:cs="Times New Roman"/>
        </w:rPr>
        <w:t xml:space="preserve">. Department of Education, Office </w:t>
      </w:r>
      <w:r w:rsidRPr="00AE3E3E">
        <w:rPr>
          <w:rFonts w:eastAsia="Calibri" w:cs="Times New Roman"/>
        </w:rPr>
        <w:t>of Special Education</w:t>
      </w:r>
      <w:r w:rsidR="00C54819">
        <w:rPr>
          <w:rFonts w:eastAsia="Calibri" w:cs="Times New Roman"/>
        </w:rPr>
        <w:t>,</w:t>
      </w:r>
      <w:r w:rsidR="00C53A31" w:rsidRPr="00C53A31">
        <w:rPr>
          <w:rFonts w:eastAsia="Calibri" w:cs="Times New Roman"/>
          <w:i/>
        </w:rPr>
        <w:t xml:space="preserve"> </w:t>
      </w:r>
      <w:r w:rsidR="00C53A31" w:rsidRPr="00325A95">
        <w:rPr>
          <w:rFonts w:eastAsia="Calibri" w:cs="Times New Roman"/>
        </w:rPr>
        <w:t>Technical Assistance Center on PBIS.</w:t>
      </w:r>
      <w:r w:rsidRPr="00AE3E3E">
        <w:rPr>
          <w:rFonts w:eastAsia="Calibri" w:cs="Times New Roman"/>
        </w:rPr>
        <w:t xml:space="preserve"> (2017). </w:t>
      </w:r>
      <w:r w:rsidRPr="00AE3E3E">
        <w:rPr>
          <w:rFonts w:eastAsia="Calibri" w:cs="Times New Roman"/>
          <w:i/>
        </w:rPr>
        <w:t xml:space="preserve">Frequently </w:t>
      </w:r>
      <w:r w:rsidR="00C54819">
        <w:rPr>
          <w:rFonts w:eastAsia="Calibri" w:cs="Times New Roman"/>
          <w:i/>
        </w:rPr>
        <w:t>a</w:t>
      </w:r>
      <w:r w:rsidR="00C54819" w:rsidRPr="00AE3E3E">
        <w:rPr>
          <w:rFonts w:eastAsia="Calibri" w:cs="Times New Roman"/>
          <w:i/>
        </w:rPr>
        <w:t xml:space="preserve">sked </w:t>
      </w:r>
      <w:r w:rsidR="00C54819">
        <w:rPr>
          <w:rFonts w:eastAsia="Calibri" w:cs="Times New Roman"/>
          <w:i/>
        </w:rPr>
        <w:t>q</w:t>
      </w:r>
      <w:r w:rsidR="00C54819" w:rsidRPr="00AE3E3E">
        <w:rPr>
          <w:rFonts w:eastAsia="Calibri" w:cs="Times New Roman"/>
          <w:i/>
        </w:rPr>
        <w:t>uestions</w:t>
      </w:r>
      <w:r w:rsidRPr="00AE3E3E">
        <w:rPr>
          <w:rFonts w:eastAsia="Calibri" w:cs="Times New Roman"/>
        </w:rPr>
        <w:t xml:space="preserve">. </w:t>
      </w:r>
      <w:r w:rsidR="00F015F0">
        <w:t>Retrieved from</w:t>
      </w:r>
      <w:r w:rsidRPr="00AE3E3E">
        <w:rPr>
          <w:rFonts w:eastAsia="Calibri" w:cs="Times New Roman"/>
        </w:rPr>
        <w:t xml:space="preserve"> </w:t>
      </w:r>
      <w:hyperlink r:id="rId56" w:history="1">
        <w:r w:rsidRPr="00AE3E3E">
          <w:rPr>
            <w:rFonts w:eastAsia="Calibri" w:cs="Times New Roman"/>
            <w:color w:val="0000FF"/>
            <w:u w:val="single"/>
          </w:rPr>
          <w:t>http://www.pbis.org</w:t>
        </w:r>
      </w:hyperlink>
    </w:p>
    <w:p w14:paraId="0478EF55" w14:textId="619CC067" w:rsidR="00F218BB" w:rsidRDefault="00F218BB" w:rsidP="00F218BB">
      <w:pPr>
        <w:spacing w:after="120" w:line="240" w:lineRule="auto"/>
        <w:ind w:left="720" w:hanging="720"/>
        <w:rPr>
          <w:rFonts w:eastAsia="Calibri" w:cs="Times New Roman"/>
        </w:rPr>
      </w:pPr>
      <w:r w:rsidRPr="00F218BB">
        <w:rPr>
          <w:rFonts w:eastAsia="Calibri" w:cs="Times New Roman"/>
        </w:rPr>
        <w:t xml:space="preserve">Van Ryzin, M. J., Fishbein, D., &amp; Biglan, A. (2018). The promise of prevention science for addressing intergenerational poverty. </w:t>
      </w:r>
      <w:r w:rsidRPr="00F218BB">
        <w:rPr>
          <w:rFonts w:eastAsia="Calibri" w:cs="Times New Roman"/>
          <w:i/>
        </w:rPr>
        <w:t>Psychology, Public Policy, and Law, 24</w:t>
      </w:r>
      <w:r w:rsidRPr="00F218BB">
        <w:rPr>
          <w:rFonts w:eastAsia="Calibri" w:cs="Times New Roman"/>
        </w:rPr>
        <w:t>, 128</w:t>
      </w:r>
      <w:r w:rsidR="00C84462">
        <w:rPr>
          <w:rFonts w:eastAsia="Calibri" w:cs="Times New Roman"/>
        </w:rPr>
        <w:t>–</w:t>
      </w:r>
      <w:r w:rsidRPr="00F218BB">
        <w:rPr>
          <w:rFonts w:eastAsia="Calibri" w:cs="Times New Roman"/>
        </w:rPr>
        <w:t>143.</w:t>
      </w:r>
      <w:r>
        <w:rPr>
          <w:rFonts w:eastAsia="Calibri" w:cs="Times New Roman"/>
        </w:rPr>
        <w:t xml:space="preserve"> </w:t>
      </w:r>
      <w:hyperlink r:id="rId57" w:history="1">
        <w:r w:rsidRPr="00F218BB">
          <w:rPr>
            <w:color w:val="0000FF"/>
            <w:u w:val="single"/>
          </w:rPr>
          <w:t>http://dx.doi.org/10.1037/law0000138</w:t>
        </w:r>
      </w:hyperlink>
    </w:p>
    <w:p w14:paraId="3A2CE342" w14:textId="2E82503E" w:rsidR="004B194E" w:rsidRPr="00AE3E3E" w:rsidRDefault="004B194E" w:rsidP="00F218BB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 xml:space="preserve">Wagenaar, A. C., &amp; </w:t>
      </w:r>
      <w:r w:rsidRPr="00AE3E3E">
        <w:rPr>
          <w:rFonts w:eastAsia="Calibri" w:cs="Times New Roman"/>
        </w:rPr>
        <w:t xml:space="preserve">Burris, S. C. (Eds.). (2013). </w:t>
      </w:r>
      <w:r w:rsidRPr="00AE3E3E">
        <w:rPr>
          <w:rFonts w:eastAsia="Calibri" w:cs="Times New Roman"/>
          <w:i/>
        </w:rPr>
        <w:t>Public health law research: Theory and methods</w:t>
      </w:r>
      <w:r w:rsidRPr="00AE3E3E">
        <w:rPr>
          <w:rFonts w:eastAsia="Calibri" w:cs="Times New Roman"/>
        </w:rPr>
        <w:t>. New York, NY: John Wiley &amp; Sons.</w:t>
      </w:r>
    </w:p>
    <w:p w14:paraId="6717296D" w14:textId="499AC5E2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 xml:space="preserve">Wagenaar, A. C., </w:t>
      </w:r>
      <w:r w:rsidRPr="00AE3E3E">
        <w:rPr>
          <w:rFonts w:eastAsia="Calibri" w:cs="Times New Roman"/>
        </w:rPr>
        <w:t xml:space="preserve">Murray, D. M., &amp; Toomey, T. L. (2000). Communities Mobilizing for Change on Alcohol (CMCA): Effects of a randomized trial on arrests and traffic crashes. </w:t>
      </w:r>
      <w:r w:rsidRPr="00AE3E3E">
        <w:rPr>
          <w:rFonts w:eastAsia="Calibri" w:cs="Times New Roman"/>
          <w:i/>
        </w:rPr>
        <w:t>Addiction, 95</w:t>
      </w:r>
      <w:r w:rsidRPr="00AE3E3E">
        <w:rPr>
          <w:rFonts w:eastAsia="Calibri" w:cs="Times New Roman"/>
        </w:rPr>
        <w:t>, 209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217. </w:t>
      </w:r>
      <w:hyperlink r:id="rId58" w:history="1">
        <w:r w:rsidRPr="00AE3E3E">
          <w:rPr>
            <w:rFonts w:eastAsia="Calibri" w:cs="Times New Roman"/>
            <w:color w:val="0000FF"/>
            <w:u w:val="single"/>
          </w:rPr>
          <w:t>http://doi.org/10.1046/j.1360-0443.2000.9522097.x</w:t>
        </w:r>
      </w:hyperlink>
    </w:p>
    <w:p w14:paraId="7E9D3241" w14:textId="7434CC9D" w:rsidR="004B194E" w:rsidRPr="00AE3E3E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>Waters, A. M</w:t>
      </w:r>
      <w:r w:rsidRPr="00AE3E3E">
        <w:rPr>
          <w:rFonts w:eastAsia="Calibri" w:cs="Times New Roman"/>
        </w:rPr>
        <w:t xml:space="preserve">., &amp; Craske, M. G. (2016). Towards a cognitive-learning formulation of youth anxiety: A narrative review of theory and evidence and implications for treatment. </w:t>
      </w:r>
      <w:r w:rsidRPr="00AE3E3E">
        <w:rPr>
          <w:rFonts w:eastAsia="Calibri" w:cs="Times New Roman"/>
          <w:i/>
        </w:rPr>
        <w:t>Clinical Psychology Review, 50,</w:t>
      </w:r>
      <w:r w:rsidRPr="00AE3E3E">
        <w:rPr>
          <w:rFonts w:eastAsia="Calibri" w:cs="Times New Roman"/>
        </w:rPr>
        <w:t xml:space="preserve"> 50</w:t>
      </w:r>
      <w:r w:rsidR="00C84462">
        <w:rPr>
          <w:rFonts w:eastAsia="Calibri" w:cs="Times New Roman"/>
        </w:rPr>
        <w:t>–</w:t>
      </w:r>
      <w:r w:rsidRPr="00AE3E3E">
        <w:rPr>
          <w:rFonts w:eastAsia="Calibri" w:cs="Times New Roman"/>
        </w:rPr>
        <w:t xml:space="preserve">66. </w:t>
      </w:r>
      <w:hyperlink r:id="rId59" w:history="1">
        <w:r w:rsidRPr="00AE3E3E">
          <w:rPr>
            <w:rFonts w:eastAsia="Calibri" w:cs="Times New Roman"/>
            <w:color w:val="0000FF"/>
            <w:u w:val="single"/>
          </w:rPr>
          <w:t>http://dx.doi.org/10.1016/j.cpr.2016.09.008</w:t>
        </w:r>
      </w:hyperlink>
    </w:p>
    <w:p w14:paraId="6F9DEAE3" w14:textId="7E96AE94" w:rsidR="004B194E" w:rsidRPr="00122B8A" w:rsidRDefault="004B194E" w:rsidP="00AE3E3E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</w:rPr>
        <w:t xml:space="preserve">Wetherell, J. L., </w:t>
      </w:r>
      <w:r w:rsidRPr="00AE3E3E">
        <w:rPr>
          <w:rFonts w:eastAsia="Calibri" w:cs="Times New Roman"/>
        </w:rPr>
        <w:t xml:space="preserve">Afari, N., Rutledge, T., Sorrell, J. T., Stoddard, J. A., Petkus, A. J., </w:t>
      </w:r>
      <w:r w:rsidR="00C54819">
        <w:rPr>
          <w:rFonts w:eastAsia="Calibri" w:cs="Times New Roman"/>
        </w:rPr>
        <w:t xml:space="preserve">… </w:t>
      </w:r>
      <w:r w:rsidRPr="00AE3E3E">
        <w:rPr>
          <w:rFonts w:eastAsia="Calibri" w:cs="Times New Roman"/>
        </w:rPr>
        <w:t xml:space="preserve">Atkinson, J. H. (2011). A randomized, controlled trial of acceptance and commitment therapy and cognitive-behavioral therapy for chronic pain. </w:t>
      </w:r>
      <w:r w:rsidRPr="00122B8A">
        <w:rPr>
          <w:rFonts w:eastAsia="Calibri" w:cs="Times New Roman"/>
          <w:i/>
        </w:rPr>
        <w:t>Pain, 152</w:t>
      </w:r>
      <w:r w:rsidRPr="00122B8A">
        <w:rPr>
          <w:rFonts w:eastAsia="Calibri" w:cs="Times New Roman"/>
        </w:rPr>
        <w:t>, 2098</w:t>
      </w:r>
      <w:r w:rsidR="00C84462">
        <w:rPr>
          <w:rFonts w:eastAsia="Calibri" w:cs="Times New Roman"/>
        </w:rPr>
        <w:t>–</w:t>
      </w:r>
      <w:r w:rsidRPr="00122B8A">
        <w:rPr>
          <w:rFonts w:eastAsia="Calibri" w:cs="Times New Roman"/>
        </w:rPr>
        <w:t xml:space="preserve">2107. </w:t>
      </w:r>
      <w:hyperlink r:id="rId60" w:history="1">
        <w:r w:rsidRPr="00122B8A">
          <w:rPr>
            <w:rFonts w:eastAsia="Calibri" w:cs="Times New Roman"/>
            <w:color w:val="0000FF"/>
            <w:u w:val="single"/>
          </w:rPr>
          <w:t>https://doi.org/10.1016/j.pain.2011.05.016</w:t>
        </w:r>
      </w:hyperlink>
    </w:p>
    <w:p w14:paraId="65F31FB9" w14:textId="5282AB93" w:rsidR="00E95AEA" w:rsidRDefault="00E95AEA" w:rsidP="00E95AEA">
      <w:pPr>
        <w:spacing w:after="120" w:line="240" w:lineRule="auto"/>
        <w:ind w:left="720" w:hanging="720"/>
      </w:pPr>
      <w:r w:rsidRPr="007839E8">
        <w:t>Wilson, D</w:t>
      </w:r>
      <w:r w:rsidRPr="00564B73">
        <w:t xml:space="preserve">. S., Ostrom, E., &amp; Cox, M. E. (2013). Generalizing the core design principles for the efficacy of groups. </w:t>
      </w:r>
      <w:r w:rsidRPr="00564B73">
        <w:rPr>
          <w:i/>
          <w:iCs/>
        </w:rPr>
        <w:t>Journal of Economic Behavior &amp; Organization</w:t>
      </w:r>
      <w:r w:rsidRPr="00564B73">
        <w:t xml:space="preserve">, </w:t>
      </w:r>
      <w:r w:rsidRPr="00564B73">
        <w:rPr>
          <w:i/>
          <w:iCs/>
        </w:rPr>
        <w:t>90</w:t>
      </w:r>
      <w:r w:rsidRPr="00564B73">
        <w:t xml:space="preserve">, S21–S32. </w:t>
      </w:r>
      <w:hyperlink r:id="rId61" w:history="1">
        <w:r w:rsidRPr="00FA0D0B">
          <w:rPr>
            <w:rFonts w:eastAsia="Calibri" w:cs="Times New Roman"/>
            <w:color w:val="0000FF"/>
            <w:u w:val="single"/>
          </w:rPr>
          <w:t>https://doi.org/10.1016/j.jebo.2012.12.010</w:t>
        </w:r>
      </w:hyperlink>
    </w:p>
    <w:p w14:paraId="658414DC" w14:textId="6C530B45" w:rsidR="004B194E" w:rsidRPr="00AE3E3E" w:rsidRDefault="004B194E" w:rsidP="00F218BB">
      <w:pPr>
        <w:spacing w:after="120" w:line="240" w:lineRule="auto"/>
        <w:ind w:left="720" w:hanging="720"/>
        <w:rPr>
          <w:rFonts w:eastAsia="Calibri" w:cs="Times New Roman"/>
        </w:rPr>
      </w:pPr>
      <w:r w:rsidRPr="007839E8">
        <w:rPr>
          <w:rFonts w:eastAsia="Calibri" w:cs="Times New Roman"/>
          <w:lang w:val="fr-FR"/>
        </w:rPr>
        <w:t>Xu, X., &amp; Chaloupka</w:t>
      </w:r>
      <w:r w:rsidRPr="00AE3E3E">
        <w:rPr>
          <w:rFonts w:eastAsia="Calibri" w:cs="Times New Roman"/>
          <w:lang w:val="fr-FR"/>
        </w:rPr>
        <w:t xml:space="preserve">, F. J. (2011). </w:t>
      </w:r>
      <w:r w:rsidRPr="00AE3E3E">
        <w:rPr>
          <w:rFonts w:eastAsia="Calibri" w:cs="Times New Roman"/>
        </w:rPr>
        <w:t xml:space="preserve">The effects of prices on alcohol use and its consequences. </w:t>
      </w:r>
      <w:r w:rsidRPr="00AE3E3E">
        <w:rPr>
          <w:rFonts w:eastAsia="Calibri" w:cs="Times New Roman"/>
          <w:i/>
        </w:rPr>
        <w:t>Alcohol Research &amp; Health, 34</w:t>
      </w:r>
      <w:r w:rsidRPr="00AE3E3E">
        <w:rPr>
          <w:rFonts w:eastAsia="Calibri" w:cs="Times New Roman"/>
        </w:rPr>
        <w:t>, 236–245.</w:t>
      </w:r>
      <w:r w:rsidR="00F218BB">
        <w:rPr>
          <w:rFonts w:eastAsia="Calibri" w:cs="Times New Roman"/>
        </w:rPr>
        <w:t xml:space="preserve"> </w:t>
      </w:r>
      <w:r w:rsidR="00DA58DB">
        <w:t xml:space="preserve">Retrieved from </w:t>
      </w:r>
      <w:hyperlink r:id="rId62" w:history="1">
        <w:r w:rsidR="00F218BB" w:rsidRPr="00451067">
          <w:rPr>
            <w:rStyle w:val="Hyperlink"/>
            <w:rFonts w:eastAsia="Calibri" w:cs="Times New Roman"/>
            <w:i/>
            <w:color w:val="0000FF"/>
            <w:u w:val="none"/>
          </w:rPr>
          <w:t>PMCID:</w:t>
        </w:r>
        <w:r w:rsidR="00DF5011" w:rsidRPr="00451067">
          <w:rPr>
            <w:rStyle w:val="Hyperlink"/>
            <w:rFonts w:eastAsia="Calibri" w:cs="Times New Roman"/>
            <w:i/>
            <w:color w:val="0000FF"/>
            <w:u w:val="none"/>
          </w:rPr>
          <w:t xml:space="preserve"> </w:t>
        </w:r>
        <w:r w:rsidR="00F218BB" w:rsidRPr="00451067">
          <w:rPr>
            <w:rStyle w:val="Hyperlink"/>
            <w:rFonts w:eastAsia="Calibri" w:cs="Times New Roman"/>
            <w:i/>
            <w:color w:val="0000FF"/>
            <w:u w:val="none"/>
          </w:rPr>
          <w:t>PMC3860576</w:t>
        </w:r>
      </w:hyperlink>
    </w:p>
    <w:p w14:paraId="54DB0A37" w14:textId="695139C7" w:rsidR="00CA3BCC" w:rsidRDefault="00CA3BCC" w:rsidP="00895D78">
      <w:pPr>
        <w:spacing w:after="120" w:line="240" w:lineRule="auto"/>
        <w:ind w:left="720" w:hanging="720"/>
      </w:pPr>
    </w:p>
    <w:sectPr w:rsidR="00CA3BCC" w:rsidSect="0034580C">
      <w:headerReference w:type="even" r:id="rId63"/>
      <w:headerReference w:type="default" r:id="rId64"/>
      <w:footerReference w:type="default" r:id="rId65"/>
      <w:headerReference w:type="first" r:id="rId66"/>
      <w:footerReference w:type="first" r:id="rId6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A36C" w14:textId="77777777" w:rsidR="00AE048E" w:rsidRDefault="00AE048E" w:rsidP="006D1A47">
      <w:pPr>
        <w:spacing w:after="0" w:line="240" w:lineRule="auto"/>
      </w:pPr>
      <w:r>
        <w:separator/>
      </w:r>
    </w:p>
  </w:endnote>
  <w:endnote w:type="continuationSeparator" w:id="0">
    <w:p w14:paraId="2AF94E11" w14:textId="77777777" w:rsidR="00AE048E" w:rsidRDefault="00AE048E" w:rsidP="006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71740B40" w14:textId="0AD13495" w:rsidR="00B5792A" w:rsidRDefault="00B5792A" w:rsidP="003061B7">
        <w:pPr>
          <w:pStyle w:val="Header"/>
          <w:pBdr>
            <w:top w:val="single" w:sz="4" w:space="1" w:color="auto"/>
          </w:pBdr>
          <w:jc w:val="right"/>
        </w:pPr>
        <w:r w:rsidRPr="00DF5011">
          <w:t xml:space="preserve">Page </w:t>
        </w:r>
        <w:r w:rsidRPr="00DF5011">
          <w:rPr>
            <w:bCs/>
            <w:sz w:val="24"/>
            <w:szCs w:val="24"/>
          </w:rPr>
          <w:fldChar w:fldCharType="begin"/>
        </w:r>
        <w:r w:rsidRPr="00DF5011">
          <w:rPr>
            <w:bCs/>
          </w:rPr>
          <w:instrText xml:space="preserve"> PAGE </w:instrText>
        </w:r>
        <w:r w:rsidRPr="00DF5011">
          <w:rPr>
            <w:bCs/>
            <w:sz w:val="24"/>
            <w:szCs w:val="24"/>
          </w:rPr>
          <w:fldChar w:fldCharType="separate"/>
        </w:r>
        <w:r w:rsidR="004A3697">
          <w:rPr>
            <w:bCs/>
            <w:noProof/>
          </w:rPr>
          <w:t>2</w:t>
        </w:r>
        <w:r w:rsidRPr="00DF5011">
          <w:rPr>
            <w:bCs/>
            <w:sz w:val="24"/>
            <w:szCs w:val="24"/>
          </w:rPr>
          <w:fldChar w:fldCharType="end"/>
        </w:r>
        <w:r w:rsidRPr="00DF5011">
          <w:t xml:space="preserve"> of </w:t>
        </w:r>
        <w:r w:rsidRPr="00DF5011">
          <w:rPr>
            <w:bCs/>
            <w:sz w:val="24"/>
            <w:szCs w:val="24"/>
          </w:rPr>
          <w:fldChar w:fldCharType="begin"/>
        </w:r>
        <w:r w:rsidRPr="00DF5011">
          <w:rPr>
            <w:bCs/>
          </w:rPr>
          <w:instrText xml:space="preserve"> NUMPAGES  </w:instrText>
        </w:r>
        <w:r w:rsidRPr="00DF5011">
          <w:rPr>
            <w:bCs/>
            <w:sz w:val="24"/>
            <w:szCs w:val="24"/>
          </w:rPr>
          <w:fldChar w:fldCharType="separate"/>
        </w:r>
        <w:r w:rsidR="004A3697">
          <w:rPr>
            <w:bCs/>
            <w:noProof/>
          </w:rPr>
          <w:t>5</w:t>
        </w:r>
        <w:r w:rsidRPr="00DF5011">
          <w:rPr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1730" w14:textId="4EE9D958" w:rsidR="00333933" w:rsidRDefault="00333933" w:rsidP="00333933">
    <w:pPr>
      <w:pStyle w:val="Footer"/>
      <w:tabs>
        <w:tab w:val="left" w:pos="10080"/>
      </w:tabs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FILENAME   \* MERGEFORMAT </w:instrText>
    </w:r>
    <w:r>
      <w:rPr>
        <w:rStyle w:val="PageNumber"/>
        <w:rFonts w:cs="Arial"/>
      </w:rPr>
      <w:fldChar w:fldCharType="separate"/>
    </w:r>
    <w:r w:rsidR="00960760">
      <w:rPr>
        <w:rStyle w:val="PageNumber"/>
        <w:rFonts w:cs="Arial"/>
        <w:noProof/>
      </w:rPr>
      <w:t>Attach-2- Coalition_Value_Statement_Long_Version_06-8-2018</w:t>
    </w:r>
    <w:r>
      <w:rPr>
        <w:rStyle w:val="PageNumber"/>
        <w:rFonts w:cs="Arial"/>
      </w:rPr>
      <w:fldChar w:fldCharType="end"/>
    </w:r>
    <w:r w:rsidRPr="00A95B5B">
      <w:rPr>
        <w:rStyle w:val="PageNumber"/>
        <w:rFonts w:cs="Arial"/>
      </w:rPr>
      <w:tab/>
    </w:r>
    <w:r>
      <w:rPr>
        <w:rStyle w:val="PageNumber"/>
        <w:rFonts w:cs="Arial"/>
      </w:rPr>
      <w:tab/>
    </w:r>
    <w:r w:rsidRPr="00A95B5B">
      <w:rPr>
        <w:rStyle w:val="PageNumber"/>
      </w:rPr>
      <w:fldChar w:fldCharType="begin"/>
    </w:r>
    <w:r w:rsidRPr="00A95B5B">
      <w:rPr>
        <w:rStyle w:val="PageNumber"/>
      </w:rPr>
      <w:instrText xml:space="preserve"> PAGE </w:instrText>
    </w:r>
    <w:r w:rsidRPr="00A95B5B">
      <w:rPr>
        <w:rStyle w:val="PageNumber"/>
      </w:rPr>
      <w:fldChar w:fldCharType="separate"/>
    </w:r>
    <w:r w:rsidR="004A3697">
      <w:rPr>
        <w:rStyle w:val="PageNumber"/>
        <w:noProof/>
      </w:rPr>
      <w:t>1</w:t>
    </w:r>
    <w:r w:rsidRPr="00A95B5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C676" w14:textId="77777777" w:rsidR="00AE048E" w:rsidRDefault="00AE048E" w:rsidP="006D1A47">
      <w:pPr>
        <w:spacing w:after="0" w:line="240" w:lineRule="auto"/>
      </w:pPr>
      <w:r>
        <w:separator/>
      </w:r>
    </w:p>
  </w:footnote>
  <w:footnote w:type="continuationSeparator" w:id="0">
    <w:p w14:paraId="5ABC734A" w14:textId="77777777" w:rsidR="00AE048E" w:rsidRDefault="00AE048E" w:rsidP="006D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9064" w14:textId="1A63091B" w:rsidR="00B5792A" w:rsidRDefault="00B5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FC1B4" w14:textId="6461010F" w:rsidR="00B5792A" w:rsidRPr="0034580C" w:rsidRDefault="00B5792A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A75C" w14:textId="17FB2FBC" w:rsidR="00333933" w:rsidRDefault="00333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F87"/>
    <w:multiLevelType w:val="hybridMultilevel"/>
    <w:tmpl w:val="B07AD7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52615"/>
    <w:multiLevelType w:val="hybridMultilevel"/>
    <w:tmpl w:val="5B2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7A6"/>
    <w:multiLevelType w:val="hybridMultilevel"/>
    <w:tmpl w:val="EA66D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A0F"/>
    <w:multiLevelType w:val="hybridMultilevel"/>
    <w:tmpl w:val="E66A16C6"/>
    <w:lvl w:ilvl="0" w:tplc="1332B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E4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8C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01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6F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2F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80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EB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69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17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F84094"/>
    <w:multiLevelType w:val="multilevel"/>
    <w:tmpl w:val="EC3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F5EBC"/>
    <w:multiLevelType w:val="multilevel"/>
    <w:tmpl w:val="39223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0ECF55EE"/>
    <w:multiLevelType w:val="hybridMultilevel"/>
    <w:tmpl w:val="B5E24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701BC"/>
    <w:multiLevelType w:val="multilevel"/>
    <w:tmpl w:val="A86CA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E12E7B"/>
    <w:multiLevelType w:val="hybridMultilevel"/>
    <w:tmpl w:val="EA66D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00643"/>
    <w:multiLevelType w:val="hybridMultilevel"/>
    <w:tmpl w:val="D8DC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04858"/>
    <w:multiLevelType w:val="hybridMultilevel"/>
    <w:tmpl w:val="3ECE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51A42"/>
    <w:multiLevelType w:val="hybridMultilevel"/>
    <w:tmpl w:val="2CB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1B4"/>
    <w:multiLevelType w:val="hybridMultilevel"/>
    <w:tmpl w:val="9BAA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5EB8"/>
    <w:multiLevelType w:val="multilevel"/>
    <w:tmpl w:val="EC3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3516C"/>
    <w:multiLevelType w:val="hybridMultilevel"/>
    <w:tmpl w:val="45649154"/>
    <w:lvl w:ilvl="0" w:tplc="2E281E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95B96"/>
    <w:multiLevelType w:val="multilevel"/>
    <w:tmpl w:val="A86CA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8B615E"/>
    <w:multiLevelType w:val="hybridMultilevel"/>
    <w:tmpl w:val="510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32FA"/>
    <w:multiLevelType w:val="hybridMultilevel"/>
    <w:tmpl w:val="CBCE21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A5F20C2"/>
    <w:multiLevelType w:val="multilevel"/>
    <w:tmpl w:val="A86CA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B83071"/>
    <w:multiLevelType w:val="hybridMultilevel"/>
    <w:tmpl w:val="3286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5DDF"/>
    <w:multiLevelType w:val="hybridMultilevel"/>
    <w:tmpl w:val="4170EB68"/>
    <w:lvl w:ilvl="0" w:tplc="8C0ABC9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22E8"/>
    <w:multiLevelType w:val="hybridMultilevel"/>
    <w:tmpl w:val="4A749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B1754B"/>
    <w:multiLevelType w:val="multilevel"/>
    <w:tmpl w:val="EC3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636F59"/>
    <w:multiLevelType w:val="hybridMultilevel"/>
    <w:tmpl w:val="1710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9F9"/>
    <w:multiLevelType w:val="hybridMultilevel"/>
    <w:tmpl w:val="7DE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8146B"/>
    <w:multiLevelType w:val="hybridMultilevel"/>
    <w:tmpl w:val="402A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31096"/>
    <w:multiLevelType w:val="hybridMultilevel"/>
    <w:tmpl w:val="0624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31CA9"/>
    <w:multiLevelType w:val="hybridMultilevel"/>
    <w:tmpl w:val="A82C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54A4"/>
    <w:multiLevelType w:val="hybridMultilevel"/>
    <w:tmpl w:val="9936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2FD"/>
    <w:multiLevelType w:val="multilevel"/>
    <w:tmpl w:val="A86CA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7F06AA"/>
    <w:multiLevelType w:val="hybridMultilevel"/>
    <w:tmpl w:val="A912BF94"/>
    <w:lvl w:ilvl="0" w:tplc="A5DE9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069CB"/>
    <w:multiLevelType w:val="multilevel"/>
    <w:tmpl w:val="A86CA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0D01EC"/>
    <w:multiLevelType w:val="hybridMultilevel"/>
    <w:tmpl w:val="641C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A74B0"/>
    <w:multiLevelType w:val="multilevel"/>
    <w:tmpl w:val="A86CA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477985"/>
    <w:multiLevelType w:val="multilevel"/>
    <w:tmpl w:val="A86CA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965AD5"/>
    <w:multiLevelType w:val="hybridMultilevel"/>
    <w:tmpl w:val="F3A2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43689"/>
    <w:multiLevelType w:val="hybridMultilevel"/>
    <w:tmpl w:val="825E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927BC"/>
    <w:multiLevelType w:val="hybridMultilevel"/>
    <w:tmpl w:val="4248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605B"/>
    <w:multiLevelType w:val="multilevel"/>
    <w:tmpl w:val="A86CA0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9400C60"/>
    <w:multiLevelType w:val="hybridMultilevel"/>
    <w:tmpl w:val="ED6A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A1846"/>
    <w:multiLevelType w:val="hybridMultilevel"/>
    <w:tmpl w:val="7124D1F4"/>
    <w:lvl w:ilvl="0" w:tplc="19983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321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73D375B"/>
    <w:multiLevelType w:val="hybridMultilevel"/>
    <w:tmpl w:val="98E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651E8"/>
    <w:multiLevelType w:val="hybridMultilevel"/>
    <w:tmpl w:val="A2E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44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2"/>
  </w:num>
  <w:num w:numId="3">
    <w:abstractNumId w:val="41"/>
  </w:num>
  <w:num w:numId="4">
    <w:abstractNumId w:val="23"/>
  </w:num>
  <w:num w:numId="5">
    <w:abstractNumId w:val="5"/>
  </w:num>
  <w:num w:numId="6">
    <w:abstractNumId w:val="14"/>
  </w:num>
  <w:num w:numId="7">
    <w:abstractNumId w:val="18"/>
  </w:num>
  <w:num w:numId="8">
    <w:abstractNumId w:val="0"/>
  </w:num>
  <w:num w:numId="9">
    <w:abstractNumId w:val="31"/>
  </w:num>
  <w:num w:numId="10">
    <w:abstractNumId w:val="9"/>
  </w:num>
  <w:num w:numId="11">
    <w:abstractNumId w:val="22"/>
  </w:num>
  <w:num w:numId="12">
    <w:abstractNumId w:val="3"/>
  </w:num>
  <w:num w:numId="13">
    <w:abstractNumId w:val="28"/>
  </w:num>
  <w:num w:numId="14">
    <w:abstractNumId w:val="38"/>
  </w:num>
  <w:num w:numId="15">
    <w:abstractNumId w:val="33"/>
  </w:num>
  <w:num w:numId="16">
    <w:abstractNumId w:val="36"/>
  </w:num>
  <w:num w:numId="17">
    <w:abstractNumId w:val="29"/>
  </w:num>
  <w:num w:numId="18">
    <w:abstractNumId w:val="17"/>
  </w:num>
  <w:num w:numId="19">
    <w:abstractNumId w:val="40"/>
  </w:num>
  <w:num w:numId="20">
    <w:abstractNumId w:val="12"/>
  </w:num>
  <w:num w:numId="21">
    <w:abstractNumId w:val="44"/>
  </w:num>
  <w:num w:numId="22">
    <w:abstractNumId w:val="7"/>
  </w:num>
  <w:num w:numId="23">
    <w:abstractNumId w:val="37"/>
  </w:num>
  <w:num w:numId="24">
    <w:abstractNumId w:val="42"/>
  </w:num>
  <w:num w:numId="25">
    <w:abstractNumId w:val="25"/>
  </w:num>
  <w:num w:numId="26">
    <w:abstractNumId w:val="11"/>
  </w:num>
  <w:num w:numId="27">
    <w:abstractNumId w:val="10"/>
  </w:num>
  <w:num w:numId="28">
    <w:abstractNumId w:val="43"/>
  </w:num>
  <w:num w:numId="29">
    <w:abstractNumId w:val="24"/>
  </w:num>
  <w:num w:numId="30">
    <w:abstractNumId w:val="26"/>
  </w:num>
  <w:num w:numId="31">
    <w:abstractNumId w:val="27"/>
  </w:num>
  <w:num w:numId="32">
    <w:abstractNumId w:val="4"/>
  </w:num>
  <w:num w:numId="33">
    <w:abstractNumId w:val="13"/>
  </w:num>
  <w:num w:numId="34">
    <w:abstractNumId w:val="45"/>
  </w:num>
  <w:num w:numId="35">
    <w:abstractNumId w:val="15"/>
  </w:num>
  <w:num w:numId="36">
    <w:abstractNumId w:val="16"/>
  </w:num>
  <w:num w:numId="37">
    <w:abstractNumId w:val="8"/>
  </w:num>
  <w:num w:numId="38">
    <w:abstractNumId w:val="19"/>
  </w:num>
  <w:num w:numId="39">
    <w:abstractNumId w:val="39"/>
  </w:num>
  <w:num w:numId="40">
    <w:abstractNumId w:val="30"/>
  </w:num>
  <w:num w:numId="41">
    <w:abstractNumId w:val="32"/>
  </w:num>
  <w:num w:numId="42">
    <w:abstractNumId w:val="34"/>
  </w:num>
  <w:num w:numId="43">
    <w:abstractNumId w:val="21"/>
  </w:num>
  <w:num w:numId="44">
    <w:abstractNumId w:val="35"/>
  </w:num>
  <w:num w:numId="45">
    <w:abstractNumId w:val="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uz-Cyrl-UZ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45564E-CF68-4439-AB25-6720FFC2C818}"/>
    <w:docVar w:name="dgnword-eventsink" w:val="404264680"/>
  </w:docVars>
  <w:rsids>
    <w:rsidRoot w:val="00BF7AF9"/>
    <w:rsid w:val="00003C69"/>
    <w:rsid w:val="000115B5"/>
    <w:rsid w:val="00016BF8"/>
    <w:rsid w:val="00021AEA"/>
    <w:rsid w:val="0002287A"/>
    <w:rsid w:val="00023ECF"/>
    <w:rsid w:val="0003401F"/>
    <w:rsid w:val="00034607"/>
    <w:rsid w:val="000445D5"/>
    <w:rsid w:val="00051D1F"/>
    <w:rsid w:val="00055301"/>
    <w:rsid w:val="00056661"/>
    <w:rsid w:val="0007668D"/>
    <w:rsid w:val="00077624"/>
    <w:rsid w:val="00084B11"/>
    <w:rsid w:val="00086873"/>
    <w:rsid w:val="00090A5D"/>
    <w:rsid w:val="000939E0"/>
    <w:rsid w:val="00095DB3"/>
    <w:rsid w:val="000A3E09"/>
    <w:rsid w:val="000B0A0B"/>
    <w:rsid w:val="000C1DF5"/>
    <w:rsid w:val="000C7750"/>
    <w:rsid w:val="000D22BB"/>
    <w:rsid w:val="000D285A"/>
    <w:rsid w:val="000E088A"/>
    <w:rsid w:val="000E4EAF"/>
    <w:rsid w:val="000F3C9B"/>
    <w:rsid w:val="00103EF0"/>
    <w:rsid w:val="00110D0E"/>
    <w:rsid w:val="00116EB0"/>
    <w:rsid w:val="00121DF6"/>
    <w:rsid w:val="00122B8A"/>
    <w:rsid w:val="0012580D"/>
    <w:rsid w:val="001268E1"/>
    <w:rsid w:val="00131223"/>
    <w:rsid w:val="00135765"/>
    <w:rsid w:val="001404F4"/>
    <w:rsid w:val="00151219"/>
    <w:rsid w:val="00153FAC"/>
    <w:rsid w:val="00156332"/>
    <w:rsid w:val="00165CFD"/>
    <w:rsid w:val="00173E98"/>
    <w:rsid w:val="0017510C"/>
    <w:rsid w:val="00193165"/>
    <w:rsid w:val="00195054"/>
    <w:rsid w:val="001A2B58"/>
    <w:rsid w:val="001B160F"/>
    <w:rsid w:val="001B5076"/>
    <w:rsid w:val="001C16A0"/>
    <w:rsid w:val="001C1A0E"/>
    <w:rsid w:val="001C4750"/>
    <w:rsid w:val="001C6497"/>
    <w:rsid w:val="001D680F"/>
    <w:rsid w:val="001E16E8"/>
    <w:rsid w:val="001E3785"/>
    <w:rsid w:val="001F18AF"/>
    <w:rsid w:val="001F6279"/>
    <w:rsid w:val="002169C1"/>
    <w:rsid w:val="00216CD7"/>
    <w:rsid w:val="00220745"/>
    <w:rsid w:val="002354E1"/>
    <w:rsid w:val="00246B9D"/>
    <w:rsid w:val="002563C0"/>
    <w:rsid w:val="00263E4D"/>
    <w:rsid w:val="00264CBF"/>
    <w:rsid w:val="002751B0"/>
    <w:rsid w:val="002771FC"/>
    <w:rsid w:val="002823F7"/>
    <w:rsid w:val="00290121"/>
    <w:rsid w:val="00292907"/>
    <w:rsid w:val="00293DD3"/>
    <w:rsid w:val="00295110"/>
    <w:rsid w:val="002A3EF9"/>
    <w:rsid w:val="002A5758"/>
    <w:rsid w:val="002A5DF7"/>
    <w:rsid w:val="002B0930"/>
    <w:rsid w:val="002B0A57"/>
    <w:rsid w:val="002B13B7"/>
    <w:rsid w:val="002B358F"/>
    <w:rsid w:val="002D1C2A"/>
    <w:rsid w:val="002D2F89"/>
    <w:rsid w:val="002E0DAA"/>
    <w:rsid w:val="002F454C"/>
    <w:rsid w:val="00302DC8"/>
    <w:rsid w:val="003061B7"/>
    <w:rsid w:val="00310821"/>
    <w:rsid w:val="00311B85"/>
    <w:rsid w:val="00314B86"/>
    <w:rsid w:val="00315E15"/>
    <w:rsid w:val="00316AE3"/>
    <w:rsid w:val="00320D2D"/>
    <w:rsid w:val="003214FA"/>
    <w:rsid w:val="003226E3"/>
    <w:rsid w:val="00325A95"/>
    <w:rsid w:val="0032699D"/>
    <w:rsid w:val="00326D09"/>
    <w:rsid w:val="00333933"/>
    <w:rsid w:val="0033670E"/>
    <w:rsid w:val="0034580C"/>
    <w:rsid w:val="0035108E"/>
    <w:rsid w:val="00351986"/>
    <w:rsid w:val="003525E9"/>
    <w:rsid w:val="00352D77"/>
    <w:rsid w:val="00365999"/>
    <w:rsid w:val="003660E6"/>
    <w:rsid w:val="00371543"/>
    <w:rsid w:val="0037424B"/>
    <w:rsid w:val="00374307"/>
    <w:rsid w:val="00392F1C"/>
    <w:rsid w:val="003A4BF8"/>
    <w:rsid w:val="003B1D13"/>
    <w:rsid w:val="003B3331"/>
    <w:rsid w:val="003B551D"/>
    <w:rsid w:val="003C46BE"/>
    <w:rsid w:val="003D6702"/>
    <w:rsid w:val="003D6977"/>
    <w:rsid w:val="003D6EE6"/>
    <w:rsid w:val="003E50DB"/>
    <w:rsid w:val="003F7E21"/>
    <w:rsid w:val="00401015"/>
    <w:rsid w:val="0040264D"/>
    <w:rsid w:val="00404DA5"/>
    <w:rsid w:val="00427EB9"/>
    <w:rsid w:val="004353B7"/>
    <w:rsid w:val="00436D3B"/>
    <w:rsid w:val="00442F7D"/>
    <w:rsid w:val="004475DD"/>
    <w:rsid w:val="00451067"/>
    <w:rsid w:val="00454AB6"/>
    <w:rsid w:val="004572F1"/>
    <w:rsid w:val="00463422"/>
    <w:rsid w:val="00464C98"/>
    <w:rsid w:val="00466DF0"/>
    <w:rsid w:val="00476870"/>
    <w:rsid w:val="004850AC"/>
    <w:rsid w:val="00485FAB"/>
    <w:rsid w:val="004A1A63"/>
    <w:rsid w:val="004A3697"/>
    <w:rsid w:val="004A55C9"/>
    <w:rsid w:val="004A68FA"/>
    <w:rsid w:val="004A713E"/>
    <w:rsid w:val="004A728F"/>
    <w:rsid w:val="004A78EE"/>
    <w:rsid w:val="004B194E"/>
    <w:rsid w:val="004B1A0D"/>
    <w:rsid w:val="004B54A2"/>
    <w:rsid w:val="004B5A91"/>
    <w:rsid w:val="004C2477"/>
    <w:rsid w:val="004C4FF7"/>
    <w:rsid w:val="004C6395"/>
    <w:rsid w:val="004D78E7"/>
    <w:rsid w:val="004F19A1"/>
    <w:rsid w:val="00503668"/>
    <w:rsid w:val="00516C8C"/>
    <w:rsid w:val="005203C2"/>
    <w:rsid w:val="00522DD5"/>
    <w:rsid w:val="005252BF"/>
    <w:rsid w:val="00532313"/>
    <w:rsid w:val="00536BFD"/>
    <w:rsid w:val="0054002A"/>
    <w:rsid w:val="005553B9"/>
    <w:rsid w:val="0056089F"/>
    <w:rsid w:val="005613EB"/>
    <w:rsid w:val="00563961"/>
    <w:rsid w:val="00564B73"/>
    <w:rsid w:val="005728B7"/>
    <w:rsid w:val="00577CE7"/>
    <w:rsid w:val="0059315F"/>
    <w:rsid w:val="00594A55"/>
    <w:rsid w:val="00594F26"/>
    <w:rsid w:val="005958E3"/>
    <w:rsid w:val="0059661A"/>
    <w:rsid w:val="005A0FFC"/>
    <w:rsid w:val="005A10B1"/>
    <w:rsid w:val="005A509B"/>
    <w:rsid w:val="005A6970"/>
    <w:rsid w:val="005C17EB"/>
    <w:rsid w:val="005C4B04"/>
    <w:rsid w:val="005C4C08"/>
    <w:rsid w:val="005D1920"/>
    <w:rsid w:val="005D1A13"/>
    <w:rsid w:val="005D278C"/>
    <w:rsid w:val="005E5318"/>
    <w:rsid w:val="005F43A7"/>
    <w:rsid w:val="005F6DF6"/>
    <w:rsid w:val="006001B4"/>
    <w:rsid w:val="00603CE7"/>
    <w:rsid w:val="00607AE7"/>
    <w:rsid w:val="00612791"/>
    <w:rsid w:val="00614D0B"/>
    <w:rsid w:val="00615B87"/>
    <w:rsid w:val="00621E8F"/>
    <w:rsid w:val="00623993"/>
    <w:rsid w:val="00623E8B"/>
    <w:rsid w:val="0064122C"/>
    <w:rsid w:val="00642E96"/>
    <w:rsid w:val="00644B66"/>
    <w:rsid w:val="0064703A"/>
    <w:rsid w:val="00651588"/>
    <w:rsid w:val="006519E7"/>
    <w:rsid w:val="00657447"/>
    <w:rsid w:val="00670388"/>
    <w:rsid w:val="00674A59"/>
    <w:rsid w:val="00676A9C"/>
    <w:rsid w:val="00685D40"/>
    <w:rsid w:val="00686FDA"/>
    <w:rsid w:val="00696215"/>
    <w:rsid w:val="006A201A"/>
    <w:rsid w:val="006A639B"/>
    <w:rsid w:val="006B3608"/>
    <w:rsid w:val="006B64EF"/>
    <w:rsid w:val="006C0BC9"/>
    <w:rsid w:val="006C3401"/>
    <w:rsid w:val="006C570A"/>
    <w:rsid w:val="006D1A47"/>
    <w:rsid w:val="006D1BDD"/>
    <w:rsid w:val="006D768B"/>
    <w:rsid w:val="006E1673"/>
    <w:rsid w:val="006F47D3"/>
    <w:rsid w:val="006F6240"/>
    <w:rsid w:val="00707B87"/>
    <w:rsid w:val="00710C0F"/>
    <w:rsid w:val="007159C6"/>
    <w:rsid w:val="0071687E"/>
    <w:rsid w:val="0072104B"/>
    <w:rsid w:val="00723966"/>
    <w:rsid w:val="007269D6"/>
    <w:rsid w:val="007279B2"/>
    <w:rsid w:val="00730350"/>
    <w:rsid w:val="00731028"/>
    <w:rsid w:val="007346C5"/>
    <w:rsid w:val="007375A5"/>
    <w:rsid w:val="00745A6D"/>
    <w:rsid w:val="007460BB"/>
    <w:rsid w:val="00753F9C"/>
    <w:rsid w:val="00754241"/>
    <w:rsid w:val="0075750D"/>
    <w:rsid w:val="00757D4C"/>
    <w:rsid w:val="00761095"/>
    <w:rsid w:val="007636EE"/>
    <w:rsid w:val="00773214"/>
    <w:rsid w:val="0077353C"/>
    <w:rsid w:val="007839E8"/>
    <w:rsid w:val="0079415B"/>
    <w:rsid w:val="00796833"/>
    <w:rsid w:val="007A6A22"/>
    <w:rsid w:val="007A7CE0"/>
    <w:rsid w:val="007B1DFA"/>
    <w:rsid w:val="007C5DC1"/>
    <w:rsid w:val="007D4B34"/>
    <w:rsid w:val="007F67D9"/>
    <w:rsid w:val="00802E81"/>
    <w:rsid w:val="008039F5"/>
    <w:rsid w:val="00805D0F"/>
    <w:rsid w:val="008161B6"/>
    <w:rsid w:val="00816D13"/>
    <w:rsid w:val="00817747"/>
    <w:rsid w:val="008261CF"/>
    <w:rsid w:val="0082659A"/>
    <w:rsid w:val="0082676B"/>
    <w:rsid w:val="008316C4"/>
    <w:rsid w:val="008319A9"/>
    <w:rsid w:val="00831B5F"/>
    <w:rsid w:val="00833DEF"/>
    <w:rsid w:val="0084223A"/>
    <w:rsid w:val="00843332"/>
    <w:rsid w:val="00853195"/>
    <w:rsid w:val="008672A0"/>
    <w:rsid w:val="00872F4E"/>
    <w:rsid w:val="00874B25"/>
    <w:rsid w:val="00880AAE"/>
    <w:rsid w:val="00894898"/>
    <w:rsid w:val="0089491B"/>
    <w:rsid w:val="00895D78"/>
    <w:rsid w:val="008B51BE"/>
    <w:rsid w:val="008C7483"/>
    <w:rsid w:val="008D274E"/>
    <w:rsid w:val="008D579F"/>
    <w:rsid w:val="008D7552"/>
    <w:rsid w:val="008E252B"/>
    <w:rsid w:val="008E5BF5"/>
    <w:rsid w:val="00907C35"/>
    <w:rsid w:val="00911849"/>
    <w:rsid w:val="009134B6"/>
    <w:rsid w:val="00917F30"/>
    <w:rsid w:val="009224DC"/>
    <w:rsid w:val="00924E44"/>
    <w:rsid w:val="00926560"/>
    <w:rsid w:val="00937AE3"/>
    <w:rsid w:val="00942B83"/>
    <w:rsid w:val="00947900"/>
    <w:rsid w:val="009528B0"/>
    <w:rsid w:val="009601AD"/>
    <w:rsid w:val="00960760"/>
    <w:rsid w:val="00973C5A"/>
    <w:rsid w:val="00977A13"/>
    <w:rsid w:val="00985E9B"/>
    <w:rsid w:val="009A129A"/>
    <w:rsid w:val="009A719F"/>
    <w:rsid w:val="009B4737"/>
    <w:rsid w:val="009C0813"/>
    <w:rsid w:val="009C2AF8"/>
    <w:rsid w:val="009C61EA"/>
    <w:rsid w:val="009D0D4E"/>
    <w:rsid w:val="009D3997"/>
    <w:rsid w:val="009E3FEF"/>
    <w:rsid w:val="009E52A0"/>
    <w:rsid w:val="009F7F9E"/>
    <w:rsid w:val="00A01E03"/>
    <w:rsid w:val="00A02EFD"/>
    <w:rsid w:val="00A042A1"/>
    <w:rsid w:val="00A121BE"/>
    <w:rsid w:val="00A15CDF"/>
    <w:rsid w:val="00A17AA3"/>
    <w:rsid w:val="00A22F21"/>
    <w:rsid w:val="00A2464A"/>
    <w:rsid w:val="00A25FC4"/>
    <w:rsid w:val="00A33E21"/>
    <w:rsid w:val="00A35332"/>
    <w:rsid w:val="00A407DB"/>
    <w:rsid w:val="00A5023E"/>
    <w:rsid w:val="00A50A09"/>
    <w:rsid w:val="00A53D8B"/>
    <w:rsid w:val="00A54FF7"/>
    <w:rsid w:val="00A60603"/>
    <w:rsid w:val="00A61190"/>
    <w:rsid w:val="00A80486"/>
    <w:rsid w:val="00A8605D"/>
    <w:rsid w:val="00A92AA2"/>
    <w:rsid w:val="00AA1EA2"/>
    <w:rsid w:val="00AB708E"/>
    <w:rsid w:val="00AD35DB"/>
    <w:rsid w:val="00AE048E"/>
    <w:rsid w:val="00AE3E3E"/>
    <w:rsid w:val="00AF1189"/>
    <w:rsid w:val="00AF4FC7"/>
    <w:rsid w:val="00AF6C86"/>
    <w:rsid w:val="00B0145E"/>
    <w:rsid w:val="00B04406"/>
    <w:rsid w:val="00B1270F"/>
    <w:rsid w:val="00B13BC6"/>
    <w:rsid w:val="00B1712A"/>
    <w:rsid w:val="00B2036A"/>
    <w:rsid w:val="00B26F79"/>
    <w:rsid w:val="00B27422"/>
    <w:rsid w:val="00B360C8"/>
    <w:rsid w:val="00B40A4A"/>
    <w:rsid w:val="00B41359"/>
    <w:rsid w:val="00B448ED"/>
    <w:rsid w:val="00B451E1"/>
    <w:rsid w:val="00B45596"/>
    <w:rsid w:val="00B53B58"/>
    <w:rsid w:val="00B562F6"/>
    <w:rsid w:val="00B5792A"/>
    <w:rsid w:val="00B6609F"/>
    <w:rsid w:val="00B66310"/>
    <w:rsid w:val="00B67579"/>
    <w:rsid w:val="00B679E1"/>
    <w:rsid w:val="00B75494"/>
    <w:rsid w:val="00B817CC"/>
    <w:rsid w:val="00B842D9"/>
    <w:rsid w:val="00B95B86"/>
    <w:rsid w:val="00B969A5"/>
    <w:rsid w:val="00B97EFA"/>
    <w:rsid w:val="00BA1CAF"/>
    <w:rsid w:val="00BA4B5C"/>
    <w:rsid w:val="00BB1D20"/>
    <w:rsid w:val="00BB4CB7"/>
    <w:rsid w:val="00BC44A4"/>
    <w:rsid w:val="00BC6587"/>
    <w:rsid w:val="00BD7464"/>
    <w:rsid w:val="00BE06C2"/>
    <w:rsid w:val="00BF2E02"/>
    <w:rsid w:val="00BF6B21"/>
    <w:rsid w:val="00BF7AF9"/>
    <w:rsid w:val="00C061F9"/>
    <w:rsid w:val="00C11D7C"/>
    <w:rsid w:val="00C12DD4"/>
    <w:rsid w:val="00C2254E"/>
    <w:rsid w:val="00C22F19"/>
    <w:rsid w:val="00C25A2E"/>
    <w:rsid w:val="00C304E3"/>
    <w:rsid w:val="00C30D81"/>
    <w:rsid w:val="00C31F28"/>
    <w:rsid w:val="00C321A9"/>
    <w:rsid w:val="00C42049"/>
    <w:rsid w:val="00C455E3"/>
    <w:rsid w:val="00C45732"/>
    <w:rsid w:val="00C504D0"/>
    <w:rsid w:val="00C528A6"/>
    <w:rsid w:val="00C53A31"/>
    <w:rsid w:val="00C54819"/>
    <w:rsid w:val="00C55973"/>
    <w:rsid w:val="00C60E44"/>
    <w:rsid w:val="00C62BA7"/>
    <w:rsid w:val="00C63E26"/>
    <w:rsid w:val="00C64501"/>
    <w:rsid w:val="00C72AE6"/>
    <w:rsid w:val="00C734CB"/>
    <w:rsid w:val="00C84462"/>
    <w:rsid w:val="00C85974"/>
    <w:rsid w:val="00C9044E"/>
    <w:rsid w:val="00CA3BCC"/>
    <w:rsid w:val="00CB3451"/>
    <w:rsid w:val="00CD1F4F"/>
    <w:rsid w:val="00CD54D9"/>
    <w:rsid w:val="00CE0A36"/>
    <w:rsid w:val="00CE7041"/>
    <w:rsid w:val="00CF0594"/>
    <w:rsid w:val="00D12528"/>
    <w:rsid w:val="00D200AE"/>
    <w:rsid w:val="00D21AFB"/>
    <w:rsid w:val="00D33A90"/>
    <w:rsid w:val="00D452CF"/>
    <w:rsid w:val="00D57C85"/>
    <w:rsid w:val="00D67371"/>
    <w:rsid w:val="00D75474"/>
    <w:rsid w:val="00D81F50"/>
    <w:rsid w:val="00D91997"/>
    <w:rsid w:val="00DA339E"/>
    <w:rsid w:val="00DA43D9"/>
    <w:rsid w:val="00DA58DB"/>
    <w:rsid w:val="00DB17A3"/>
    <w:rsid w:val="00DC3E89"/>
    <w:rsid w:val="00DC438E"/>
    <w:rsid w:val="00DC58A1"/>
    <w:rsid w:val="00DC657D"/>
    <w:rsid w:val="00DE64F7"/>
    <w:rsid w:val="00DE7CF5"/>
    <w:rsid w:val="00DF04E6"/>
    <w:rsid w:val="00DF21E4"/>
    <w:rsid w:val="00DF5011"/>
    <w:rsid w:val="00DF6792"/>
    <w:rsid w:val="00DF781B"/>
    <w:rsid w:val="00E06160"/>
    <w:rsid w:val="00E0730C"/>
    <w:rsid w:val="00E15EE6"/>
    <w:rsid w:val="00E16C84"/>
    <w:rsid w:val="00E225B5"/>
    <w:rsid w:val="00E23D89"/>
    <w:rsid w:val="00E3733C"/>
    <w:rsid w:val="00E4643E"/>
    <w:rsid w:val="00E51966"/>
    <w:rsid w:val="00E52594"/>
    <w:rsid w:val="00E53A40"/>
    <w:rsid w:val="00E565CD"/>
    <w:rsid w:val="00E571F4"/>
    <w:rsid w:val="00E71A72"/>
    <w:rsid w:val="00E73865"/>
    <w:rsid w:val="00E741DC"/>
    <w:rsid w:val="00E85862"/>
    <w:rsid w:val="00E90BAD"/>
    <w:rsid w:val="00E95AEA"/>
    <w:rsid w:val="00E9669A"/>
    <w:rsid w:val="00EA2114"/>
    <w:rsid w:val="00EA503F"/>
    <w:rsid w:val="00EB0410"/>
    <w:rsid w:val="00EC1322"/>
    <w:rsid w:val="00EC4D4A"/>
    <w:rsid w:val="00ED533C"/>
    <w:rsid w:val="00EE5F72"/>
    <w:rsid w:val="00EE78E9"/>
    <w:rsid w:val="00EF4E48"/>
    <w:rsid w:val="00EF57BF"/>
    <w:rsid w:val="00EF743D"/>
    <w:rsid w:val="00F015F0"/>
    <w:rsid w:val="00F11B7D"/>
    <w:rsid w:val="00F153AD"/>
    <w:rsid w:val="00F218BB"/>
    <w:rsid w:val="00F27E75"/>
    <w:rsid w:val="00F32CA6"/>
    <w:rsid w:val="00F42D67"/>
    <w:rsid w:val="00F4768C"/>
    <w:rsid w:val="00F544E2"/>
    <w:rsid w:val="00F55CB1"/>
    <w:rsid w:val="00F61543"/>
    <w:rsid w:val="00F63EDE"/>
    <w:rsid w:val="00F6420F"/>
    <w:rsid w:val="00F72588"/>
    <w:rsid w:val="00F75337"/>
    <w:rsid w:val="00F8071F"/>
    <w:rsid w:val="00F8776D"/>
    <w:rsid w:val="00F94B1C"/>
    <w:rsid w:val="00F96140"/>
    <w:rsid w:val="00FA0D0B"/>
    <w:rsid w:val="00FA1DCC"/>
    <w:rsid w:val="00FB2E46"/>
    <w:rsid w:val="00FC6852"/>
    <w:rsid w:val="00FC70A5"/>
    <w:rsid w:val="00FD3153"/>
    <w:rsid w:val="00FD5AAC"/>
    <w:rsid w:val="00FE1698"/>
    <w:rsid w:val="00FE6E7E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32649"/>
  <w15:docId w15:val="{095862E7-8998-4BAF-B419-03D8118C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A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B34"/>
    <w:pPr>
      <w:keepNext/>
      <w:keepLines/>
      <w:numPr>
        <w:numId w:val="43"/>
      </w:numPr>
      <w:spacing w:before="120" w:after="120"/>
      <w:outlineLvl w:val="1"/>
    </w:pPr>
    <w:rPr>
      <w:rFonts w:eastAsiaTheme="majorEastAsia" w:cstheme="majorBidi"/>
      <w:b/>
      <w:caps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E75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5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3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3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7353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77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5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3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73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353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353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7735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353C"/>
  </w:style>
  <w:style w:type="paragraph" w:styleId="Revision">
    <w:name w:val="Revision"/>
    <w:hidden/>
    <w:uiPriority w:val="99"/>
    <w:semiHidden/>
    <w:rsid w:val="007735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3C"/>
  </w:style>
  <w:style w:type="paragraph" w:styleId="Footer">
    <w:name w:val="footer"/>
    <w:basedOn w:val="Normal"/>
    <w:link w:val="FooterChar"/>
    <w:unhideWhenUsed/>
    <w:rsid w:val="0077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353C"/>
  </w:style>
  <w:style w:type="character" w:customStyle="1" w:styleId="Heading2Char">
    <w:name w:val="Heading 2 Char"/>
    <w:basedOn w:val="DefaultParagraphFont"/>
    <w:link w:val="Heading2"/>
    <w:uiPriority w:val="9"/>
    <w:rsid w:val="007D4B34"/>
    <w:rPr>
      <w:rFonts w:ascii="Cambria" w:eastAsiaTheme="majorEastAsia" w:hAnsi="Cambria" w:cstheme="majorBidi"/>
      <w:b/>
      <w:caps/>
      <w:color w:val="1F386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E75"/>
    <w:rPr>
      <w:rFonts w:ascii="Cambria" w:eastAsiaTheme="majorEastAsia" w:hAnsi="Cambria" w:cstheme="majorBidi"/>
      <w:b/>
      <w:color w:val="1F3763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258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D1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50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1D2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0BB"/>
    <w:rPr>
      <w:color w:val="605E5C"/>
      <w:shd w:val="clear" w:color="auto" w:fill="E1DFDD"/>
    </w:rPr>
  </w:style>
  <w:style w:type="character" w:styleId="PageNumber">
    <w:name w:val="page number"/>
    <w:rsid w:val="003339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1007/BF02509717" TargetMode="External"/><Relationship Id="rId18" Type="http://schemas.openxmlformats.org/officeDocument/2006/relationships/hyperlink" Target="https://doi.org/10.1177/1098300709334798" TargetMode="External"/><Relationship Id="rId26" Type="http://schemas.openxmlformats.org/officeDocument/2006/relationships/hyperlink" Target="http://doi.org/10.1598/RRQ.36.3.2" TargetMode="External"/><Relationship Id="rId39" Type="http://schemas.openxmlformats.org/officeDocument/2006/relationships/hyperlink" Target="https://doi.org/10.1037/a0024518" TargetMode="External"/><Relationship Id="rId21" Type="http://schemas.openxmlformats.org/officeDocument/2006/relationships/hyperlink" Target="http://doi.org/10.1007/s13142-017-0507-z" TargetMode="External"/><Relationship Id="rId34" Type="http://schemas.openxmlformats.org/officeDocument/2006/relationships/hyperlink" Target="http://doi.org/10.1001/archpediatrics.2009.267" TargetMode="External"/><Relationship Id="rId42" Type="http://schemas.openxmlformats.org/officeDocument/2006/relationships/hyperlink" Target="https://doi.org/10.1161/CIR.0b013e318260a20b" TargetMode="External"/><Relationship Id="rId47" Type="http://schemas.openxmlformats.org/officeDocument/2006/relationships/hyperlink" Target="https://doi.org/10.1146/annurev.psych.60.110707.163607" TargetMode="External"/><Relationship Id="rId50" Type="http://schemas.openxmlformats.org/officeDocument/2006/relationships/hyperlink" Target="https://doi.org/10.1016/j.cpr.2007.01.005" TargetMode="External"/><Relationship Id="rId55" Type="http://schemas.openxmlformats.org/officeDocument/2006/relationships/hyperlink" Target="https://esa.un.org/unpd/wpp/Publications/" TargetMode="External"/><Relationship Id="rId63" Type="http://schemas.openxmlformats.org/officeDocument/2006/relationships/header" Target="header1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37/0021-9010.88.6.1057" TargetMode="External"/><Relationship Id="rId29" Type="http://schemas.openxmlformats.org/officeDocument/2006/relationships/hyperlink" Target="https://doi.org/10.1177/17456916135034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3-066X.61.4.271" TargetMode="External"/><Relationship Id="rId24" Type="http://schemas.openxmlformats.org/officeDocument/2006/relationships/hyperlink" Target="https://doi.org/10.1016/j.cpr.2006.11.001" TargetMode="External"/><Relationship Id="rId32" Type="http://schemas.openxmlformats.org/officeDocument/2006/relationships/hyperlink" Target="http://doi.org/10.1001/archpediatrics.2011.183" TargetMode="External"/><Relationship Id="rId37" Type="http://schemas.openxmlformats.org/officeDocument/2006/relationships/hyperlink" Target="https://doi.org/10.1108/17466661211213670" TargetMode="External"/><Relationship Id="rId40" Type="http://schemas.openxmlformats.org/officeDocument/2006/relationships/hyperlink" Target="https://doi.org/10.1377/hlthaff.21.2.78" TargetMode="External"/><Relationship Id="rId45" Type="http://schemas.openxmlformats.org/officeDocument/2006/relationships/hyperlink" Target="http://doi.org/10.1037/0022-006X.76.4.607" TargetMode="External"/><Relationship Id="rId53" Type="http://schemas.openxmlformats.org/officeDocument/2006/relationships/hyperlink" Target="https://doi.org/10.1177/10983007070090040601" TargetMode="External"/><Relationship Id="rId58" Type="http://schemas.openxmlformats.org/officeDocument/2006/relationships/hyperlink" Target="http://doi.org/10.1046/j.1360-0443.2000.9522097.x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37/1076-8998.5.1.156" TargetMode="External"/><Relationship Id="rId23" Type="http://schemas.openxmlformats.org/officeDocument/2006/relationships/hyperlink" Target="https://doi.org/10.1007/s10567-017-0226-5" TargetMode="External"/><Relationship Id="rId28" Type="http://schemas.openxmlformats.org/officeDocument/2006/relationships/hyperlink" Target="http://dx.doi.org/10.1037/a0020522" TargetMode="External"/><Relationship Id="rId36" Type="http://schemas.openxmlformats.org/officeDocument/2006/relationships/hyperlink" Target="https://doi.org/10.1186/1471-2431-13-172" TargetMode="External"/><Relationship Id="rId49" Type="http://schemas.openxmlformats.org/officeDocument/2006/relationships/hyperlink" Target="https://doi.org/10.1093/her/17.1.117" TargetMode="External"/><Relationship Id="rId57" Type="http://schemas.openxmlformats.org/officeDocument/2006/relationships/hyperlink" Target="http://dx.doi.org/10.1037/law0000138" TargetMode="External"/><Relationship Id="rId61" Type="http://schemas.openxmlformats.org/officeDocument/2006/relationships/hyperlink" Target="https://doi.org/10.1016/j.jebo.2012.12.010" TargetMode="External"/><Relationship Id="rId10" Type="http://schemas.openxmlformats.org/officeDocument/2006/relationships/hyperlink" Target="http://dx.doi.org/10.1300/J370v24n01_02" TargetMode="External"/><Relationship Id="rId19" Type="http://schemas.openxmlformats.org/officeDocument/2006/relationships/hyperlink" Target="https://doi.org/10.1007/s10488-011-0384-6" TargetMode="External"/><Relationship Id="rId31" Type="http://schemas.openxmlformats.org/officeDocument/2006/relationships/hyperlink" Target="http://dx.doi.org/10.1037/0022-0663.81.3.371" TargetMode="External"/><Relationship Id="rId44" Type="http://schemas.openxmlformats.org/officeDocument/2006/relationships/hyperlink" Target="https://climate.nasa.gov" TargetMode="External"/><Relationship Id="rId52" Type="http://schemas.openxmlformats.org/officeDocument/2006/relationships/hyperlink" Target="http://doi.org/10.1007/s10464-011-9430-5" TargetMode="External"/><Relationship Id="rId60" Type="http://schemas.openxmlformats.org/officeDocument/2006/relationships/hyperlink" Target="https://doi.org/10.1016/j.pain.2011.05.016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social.world" TargetMode="External"/><Relationship Id="rId14" Type="http://schemas.openxmlformats.org/officeDocument/2006/relationships/hyperlink" Target="http://doi.org/10.1037/a0026796" TargetMode="External"/><Relationship Id="rId22" Type="http://schemas.openxmlformats.org/officeDocument/2006/relationships/hyperlink" Target="https://doi.org/10.1177/10983007070090010201" TargetMode="External"/><Relationship Id="rId27" Type="http://schemas.openxmlformats.org/officeDocument/2006/relationships/hyperlink" Target="https://doi.org/10.1016/S0749-3797(98)00017-8" TargetMode="External"/><Relationship Id="rId30" Type="http://schemas.openxmlformats.org/officeDocument/2006/relationships/hyperlink" Target="http://doi.org/10.2105/ajph.93.8.1261" TargetMode="External"/><Relationship Id="rId35" Type="http://schemas.openxmlformats.org/officeDocument/2006/relationships/hyperlink" Target="http://doi.org/10.2105/AJPH.2016.303603" TargetMode="External"/><Relationship Id="rId43" Type="http://schemas.openxmlformats.org/officeDocument/2006/relationships/hyperlink" Target="https://doi.org/10.1097/HRP.0000000000000149" TargetMode="External"/><Relationship Id="rId48" Type="http://schemas.openxmlformats.org/officeDocument/2006/relationships/hyperlink" Target="https://doi.org/10.1017/S0954579410000568" TargetMode="External"/><Relationship Id="rId56" Type="http://schemas.openxmlformats.org/officeDocument/2006/relationships/hyperlink" Target="http://www.pbis.org" TargetMode="External"/><Relationship Id="rId64" Type="http://schemas.openxmlformats.org/officeDocument/2006/relationships/header" Target="header2.xml"/><Relationship Id="rId69" Type="http://schemas.openxmlformats.org/officeDocument/2006/relationships/theme" Target="theme/theme1.xml"/><Relationship Id="rId8" Type="http://schemas.openxmlformats.org/officeDocument/2006/relationships/hyperlink" Target="http://www.pbis.org" TargetMode="External"/><Relationship Id="rId51" Type="http://schemas.openxmlformats.org/officeDocument/2006/relationships/hyperlink" Target="http://doi.org/10.1161/circulationaha.110.969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07/s11121-016-0635-6" TargetMode="External"/><Relationship Id="rId17" Type="http://schemas.openxmlformats.org/officeDocument/2006/relationships/hyperlink" Target="http://dx.doi.org/10.1037/a0012883" TargetMode="External"/><Relationship Id="rId25" Type="http://schemas.openxmlformats.org/officeDocument/2006/relationships/hyperlink" Target="https://doi.org/10.3102/00346543071003393" TargetMode="External"/><Relationship Id="rId33" Type="http://schemas.openxmlformats.org/officeDocument/2006/relationships/hyperlink" Target="http://dx.doi.org/10.1016/S0140-6736(12)60816-2" TargetMode="External"/><Relationship Id="rId38" Type="http://schemas.openxmlformats.org/officeDocument/2006/relationships/hyperlink" Target="http://dx.doi.org/10.1016/j.amepre.2016.05.014" TargetMode="External"/><Relationship Id="rId46" Type="http://schemas.openxmlformats.org/officeDocument/2006/relationships/hyperlink" Target="http://doi.org/10.1080/02650530500291518" TargetMode="External"/><Relationship Id="rId59" Type="http://schemas.openxmlformats.org/officeDocument/2006/relationships/hyperlink" Target="http://dx.doi.org/10.1016/j.cpr.2016.09.008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doi.org/10.3102/00346543065001001" TargetMode="External"/><Relationship Id="rId41" Type="http://schemas.openxmlformats.org/officeDocument/2006/relationships/hyperlink" Target="http://dx.doi.org/10.1080/01608061.2017.1340923" TargetMode="External"/><Relationship Id="rId54" Type="http://schemas.openxmlformats.org/officeDocument/2006/relationships/hyperlink" Target="http://doi.org/10.1111/cdev.12864" TargetMode="External"/><Relationship Id="rId62" Type="http://schemas.openxmlformats.org/officeDocument/2006/relationships/hyperlink" Target="https://www.ncbi.nlm.nih.gov/pmc/articles/PMC38605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0E17-C3D3-4F76-B2FB-09EAD88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Research Institute</Company>
  <LinksUpToDate>false</LinksUpToDate>
  <CharactersWithSpaces>52054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Burson</dc:creator>
  <cp:lastModifiedBy>Emily Rodrigues</cp:lastModifiedBy>
  <cp:revision>2</cp:revision>
  <cp:lastPrinted>2018-06-08T15:31:00Z</cp:lastPrinted>
  <dcterms:created xsi:type="dcterms:W3CDTF">2018-06-28T15:41:00Z</dcterms:created>
  <dcterms:modified xsi:type="dcterms:W3CDTF">2018-06-28T15:41:00Z</dcterms:modified>
</cp:coreProperties>
</file>